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pPr w:leftFromText="180" w:rightFromText="180" w:vertAnchor="page" w:horzAnchor="margin" w:tblpXSpec="center" w:tblpY="46"/>
        <w:tblW w:w="11902" w:type="dxa"/>
        <w:tblLook w:val="04A0" w:firstRow="1" w:lastRow="0" w:firstColumn="1" w:lastColumn="0" w:noHBand="0" w:noVBand="1"/>
      </w:tblPr>
      <w:tblGrid>
        <w:gridCol w:w="11902"/>
      </w:tblGrid>
      <w:tr w:rsidRPr="00A403AB" w:rsidR="00A403AB" w:rsidTr="7772AEA9" w14:paraId="569C9640" w14:textId="77777777">
        <w:trPr>
          <w:trHeight w:val="2400"/>
        </w:trPr>
        <w:tc>
          <w:tcPr>
            <w:tcW w:w="11902" w:type="dxa"/>
            <w:tcBorders>
              <w:top w:val="nil"/>
              <w:left w:val="nil"/>
              <w:bottom w:val="nil"/>
              <w:right w:val="nil"/>
            </w:tcBorders>
            <w:tcMar/>
          </w:tcPr>
          <w:p w:rsidRPr="00A403AB" w:rsidR="00A403AB" w:rsidP="00A403AB" w:rsidRDefault="00A403AB" w14:paraId="2FA48C06" w14:textId="77777777">
            <w:pPr>
              <w:rPr>
                <w:rFonts w:ascii="Arial" w:hAnsi="Arial" w:cs="Arial"/>
              </w:rPr>
            </w:pPr>
            <w:r w:rsidRPr="00A403AB">
              <w:rPr>
                <w:rFonts w:ascii="Arial" w:hAnsi="Arial" w:cs="Arial"/>
                <w:noProof/>
                <w:lang w:eastAsia="en-NZ"/>
              </w:rPr>
              <w:drawing>
                <wp:anchor distT="0" distB="0" distL="114300" distR="114300" simplePos="0" relativeHeight="251661312" behindDoc="1" locked="0" layoutInCell="1" allowOverlap="1" wp14:anchorId="0228F931" wp14:editId="78EC7CE7">
                  <wp:simplePos x="0" y="0"/>
                  <wp:positionH relativeFrom="page">
                    <wp:posOffset>-51435</wp:posOffset>
                  </wp:positionH>
                  <wp:positionV relativeFrom="paragraph">
                    <wp:posOffset>28575</wp:posOffset>
                  </wp:positionV>
                  <wp:extent cx="7579995" cy="1275715"/>
                  <wp:effectExtent l="0" t="0" r="190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teal-padding.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995" cy="1275715"/>
                          </a:xfrm>
                          <a:prstGeom prst="rect">
                            <a:avLst/>
                          </a:prstGeom>
                        </pic:spPr>
                      </pic:pic>
                    </a:graphicData>
                  </a:graphic>
                  <wp14:sizeRelH relativeFrom="margin">
                    <wp14:pctWidth>0</wp14:pctWidth>
                  </wp14:sizeRelH>
                  <wp14:sizeRelV relativeFrom="margin">
                    <wp14:pctHeight>0</wp14:pctHeight>
                  </wp14:sizeRelV>
                </wp:anchor>
              </w:drawing>
            </w:r>
          </w:p>
        </w:tc>
      </w:tr>
      <w:tr w:rsidRPr="00A403AB" w:rsidR="00A403AB" w:rsidTr="7772AEA9" w14:paraId="4744BC95" w14:textId="77777777">
        <w:trPr>
          <w:trHeight w:val="4253"/>
        </w:trPr>
        <w:tc>
          <w:tcPr>
            <w:tcW w:w="11902" w:type="dxa"/>
            <w:tcBorders>
              <w:top w:val="nil"/>
              <w:left w:val="nil"/>
              <w:bottom w:val="nil"/>
              <w:right w:val="nil"/>
            </w:tcBorders>
            <w:tcMar/>
          </w:tcPr>
          <w:tbl>
            <w:tblPr>
              <w:tblStyle w:val="TableGrid"/>
              <w:tblW w:w="0" w:type="auto"/>
              <w:tblInd w:w="869" w:type="dxa"/>
              <w:tblLook w:val="04A0" w:firstRow="1" w:lastRow="0" w:firstColumn="1" w:lastColumn="0" w:noHBand="0" w:noVBand="1"/>
            </w:tblPr>
            <w:tblGrid>
              <w:gridCol w:w="9714"/>
            </w:tblGrid>
            <w:tr w:rsidRPr="00A403AB" w:rsidR="00A403AB" w:rsidTr="7772AEA9" w14:paraId="1D1BB03C" w14:textId="77777777">
              <w:trPr>
                <w:trHeight w:val="504"/>
              </w:trPr>
              <w:tc>
                <w:tcPr>
                  <w:tcW w:w="9393" w:type="dxa"/>
                  <w:tcBorders>
                    <w:top w:val="nil"/>
                    <w:left w:val="nil"/>
                    <w:bottom w:val="nil"/>
                    <w:right w:val="nil"/>
                  </w:tcBorders>
                  <w:tcMar/>
                </w:tcPr>
                <w:p w:rsidR="0024584E" w:rsidP="0024584E" w:rsidRDefault="0024584E" w14:paraId="503CE772" w14:textId="77777777">
                  <w:pPr>
                    <w:framePr w:hSpace="180" w:wrap="around" w:hAnchor="margin" w:vAnchor="page" w:xAlign="center" w:y="46"/>
                    <w:rPr>
                      <w:b/>
                      <w:color w:val="339FAD"/>
                      <w:sz w:val="32"/>
                    </w:rPr>
                  </w:pPr>
                  <w:r w:rsidRPr="15BA2223">
                    <w:rPr>
                      <w:b/>
                      <w:bCs/>
                      <w:color w:val="339FAD"/>
                      <w:sz w:val="32"/>
                      <w:szCs w:val="32"/>
                    </w:rPr>
                    <w:t>MEDIA RELEASE</w:t>
                  </w:r>
                </w:p>
                <w:p w:rsidRPr="00507BA2" w:rsidR="0024584E" w:rsidP="15BA2223" w:rsidRDefault="683B3E56" w14:paraId="4B87E438" w14:textId="30F4F158">
                  <w:pPr>
                    <w:spacing w:line="259" w:lineRule="auto"/>
                    <w:rPr>
                      <w:color w:val="536972"/>
                    </w:rPr>
                  </w:pPr>
                  <w:r>
                    <w:br/>
                  </w:r>
                </w:p>
                <w:tbl>
                  <w:tblPr>
                    <w:tblW w:w="9498" w:type="dxa"/>
                    <w:tblBorders>
                      <w:top w:val="single" w:color="339FAD" w:sz="4" w:space="0"/>
                    </w:tblBorders>
                    <w:tblLook w:val="0000" w:firstRow="0" w:lastRow="0" w:firstColumn="0" w:lastColumn="0" w:noHBand="0" w:noVBand="0"/>
                  </w:tblPr>
                  <w:tblGrid>
                    <w:gridCol w:w="9498"/>
                  </w:tblGrid>
                  <w:tr w:rsidRPr="00FC5AEA" w:rsidR="0024584E" w:rsidTr="43448432" w14:paraId="55B4EA5E" w14:textId="77777777">
                    <w:trPr>
                      <w:trHeight w:val="151"/>
                    </w:trPr>
                    <w:tc>
                      <w:tcPr>
                        <w:tcW w:w="9498" w:type="dxa"/>
                        <w:tcMar/>
                      </w:tcPr>
                      <w:p w:rsidRPr="00507BA2" w:rsidR="0024584E" w:rsidP="0024584E" w:rsidRDefault="0024584E" w14:paraId="374B1016" w14:textId="77777777">
                        <w:pPr>
                          <w:framePr w:hSpace="180" w:wrap="around" w:hAnchor="margin" w:vAnchor="page" w:xAlign="center" w:y="46"/>
                          <w:rPr>
                            <w:rFonts w:ascii="Calibri" w:hAnsi="Calibri" w:cs="Tahoma"/>
                            <w:b/>
                            <w:color w:val="536972"/>
                          </w:rPr>
                        </w:pPr>
                        <w:r w:rsidRPr="00880178">
                          <w:rPr>
                            <w:rFonts w:ascii="Calibri" w:hAnsi="Calibri" w:cs="Tahoma"/>
                            <w:b/>
                            <w:color w:val="536972"/>
                          </w:rPr>
                          <w:t xml:space="preserve"> </w:t>
                        </w:r>
                      </w:p>
                    </w:tc>
                  </w:tr>
                </w:tbl>
                <w:p w:rsidR="010992EC" w:rsidP="43448432" w:rsidRDefault="010992EC" w14:paraId="4A462A15" w14:textId="5D5B24E7">
                  <w:pPr>
                    <w:spacing w:after="160" w:line="259" w:lineRule="auto"/>
                    <w:jc w:val="center"/>
                    <w:rPr>
                      <w:rFonts w:ascii="SimSun" w:hAnsi="SimSun" w:eastAsia="SimSun" w:cs="SimSun"/>
                      <w:b w:val="0"/>
                      <w:bCs w:val="0"/>
                      <w:i w:val="0"/>
                      <w:iCs w:val="0"/>
                      <w:caps w:val="0"/>
                      <w:smallCaps w:val="0"/>
                      <w:noProof w:val="0"/>
                      <w:color w:val="000000" w:themeColor="text1" w:themeTint="FF" w:themeShade="FF"/>
                      <w:sz w:val="32"/>
                      <w:szCs w:val="32"/>
                      <w:lang w:val="en-NZ"/>
                    </w:rPr>
                  </w:pPr>
                  <w:r w:rsidRPr="43448432" w:rsidR="1BFF6ABE">
                    <w:rPr>
                      <w:rFonts w:ascii="SimSun" w:hAnsi="SimSun" w:eastAsia="SimSun" w:cs="SimSun"/>
                      <w:b w:val="1"/>
                      <w:bCs w:val="1"/>
                      <w:i w:val="0"/>
                      <w:iCs w:val="0"/>
                      <w:caps w:val="0"/>
                      <w:smallCaps w:val="0"/>
                      <w:noProof w:val="0"/>
                      <w:color w:val="000000" w:themeColor="text1" w:themeTint="FF" w:themeShade="FF"/>
                      <w:sz w:val="32"/>
                      <w:szCs w:val="32"/>
                      <w:lang w:val="zh-CHS"/>
                    </w:rPr>
                    <w:t>了解孕期身体的演变</w:t>
                  </w:r>
                  <w:r>
                    <w:br/>
                  </w:r>
                </w:p>
                <w:p w:rsidR="010992EC" w:rsidP="43448432" w:rsidRDefault="010992EC" w14:paraId="6DB724F0" w14:textId="2BBB40A2">
                  <w:pPr>
                    <w:spacing w:after="160" w:line="259" w:lineRule="auto"/>
                    <w:ind w:firstLine="720"/>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怀孕期间的锻炼给母亲和婴儿带来较安全</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和</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健康的结果。然而，由于</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怀孕造成体型改变，</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个别孕妇可能会</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有</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更多跌倒的风险，导致她们孕前孕后对运动不确定</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的态度。</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孕期身体演变</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 xml:space="preserve"> （</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TK-PEP</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是</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AUT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领导的题为“生命发展周期</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总体研究项目中的首个研究课题，旨在为了妇女和家人的福祉改善妊娠结果。</w:t>
                  </w:r>
                </w:p>
                <w:p w:rsidR="010992EC" w:rsidP="43448432" w:rsidRDefault="010992EC" w14:paraId="0DD64AD2" w14:textId="346CD066">
                  <w:pPr>
                    <w:spacing w:after="160" w:line="259" w:lineRule="auto"/>
                    <w:ind w:firstLine="720"/>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为</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进一步了解</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孕妇</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怀孕期和</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产</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后在身体形状、大小和体征方面的变化。</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TK-PEP</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课题</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将与多</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达</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400</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名孕妇合作，</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 xml:space="preserve"> </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TK-PEP</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研究课题负责</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人</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Patria Hume</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教授说</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孕妇</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的身体在整个怀孕期间和产后</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6</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个月内</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形体</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经历着独特的渐进变化。虽然人们普遍认为在这段时间内经历的身体变化会影响妇女的行走、平衡、运动和</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完成</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日常任务的方式，但我们对这些变化如何在不同时期演变以及孕妇之间有何差异知之甚少</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p>
                <w:p w:rsidR="010992EC" w:rsidP="43448432" w:rsidRDefault="010992EC" w14:paraId="3DB5EEFA" w14:textId="2FB7A746">
                  <w:pPr>
                    <w:spacing w:after="160" w:line="259" w:lineRule="auto"/>
                    <w:ind w:firstLine="720"/>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我们希望，随着</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孕妇</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更多地了解她们</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身体</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的</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变化，她们</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会对如何</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行走和保持平衡更有信心</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从而能够增进身体和精神</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两个</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方面的健康</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p>
                <w:p w:rsidR="010992EC" w:rsidP="43448432" w:rsidRDefault="010992EC" w14:paraId="58DDB1EA" w14:textId="614F7082">
                  <w:pPr>
                    <w:spacing w:after="160" w:line="259" w:lineRule="auto"/>
                    <w:ind w:firstLine="720"/>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研究人员</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希望</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，对</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孕期体态</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变化</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加深</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了解</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能有助</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减少</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分娩</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时的医疗干预需求。大约有三分之一的新西兰妇女在生孩子时要进行剖腹产或器械助产（用产钳或通气管）。</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 xml:space="preserve"> </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2018</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年，卫生部的一份孕产妇报告显示，</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36%</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的</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孕妇</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进行了剖腹产，是世界卫生组织建议</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的</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15%</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的两倍多。</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TK-PEP</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助产士科研团队负责人</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Judith McAra-Couper</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库珀教授说：</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我们希望找到改变这一趋势的方法，以便</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让</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更多</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的</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妇女能够进行阴道分娩。</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 xml:space="preserve">" </w:t>
                  </w:r>
                </w:p>
                <w:p w:rsidR="010992EC" w:rsidP="43448432" w:rsidRDefault="010992EC" w14:paraId="12B7C821" w14:textId="7EE3D21A">
                  <w:pPr>
                    <w:spacing w:after="160" w:line="259" w:lineRule="auto"/>
                    <w:ind w:firstLine="720"/>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该研究每月在奥克兰理工大学的千禧年体育竞技研究所进行，为研究对象检查的项目</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有：</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心率、血压、体温、呼吸率、氧饱和度以及身体</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形态</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和运动的变化。三维全身成像扫描仪将捕捉到身体质量的变化，运动捕捉技术将被</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用于</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评估行走和平衡。</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其中</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包括基于运动疗法的免费分娩准备</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的</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研讨会</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，研讨会</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旨在帮助准妈妈在身体和情感方面为分娩做</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充分的</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准备。研究对象还将接受营养分析，并</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使用</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Te Kukunetanga whānau</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课题组的房间。</w:t>
                  </w:r>
                </w:p>
                <w:p w:rsidR="010992EC" w:rsidP="43448432" w:rsidRDefault="010992EC" w14:paraId="7C5BBF88" w14:textId="0414493A">
                  <w:pPr>
                    <w:spacing w:after="160" w:line="259" w:lineRule="auto"/>
                    <w:ind w:firstLine="720"/>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Hume</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教授说</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通过设定时间的约会以及参加由各种专家就营养、运动和体育活动等主题演讲的仅限研究对象的健康研讨会，为各类健康专业人士提供了合作的机会</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p>
                <w:p w:rsidR="010992EC" w:rsidP="43448432" w:rsidRDefault="010992EC" w14:paraId="259820AD" w14:textId="24C5477C">
                  <w:pPr>
                    <w:spacing w:after="160" w:line="259" w:lineRule="auto"/>
                    <w:ind w:firstLine="720"/>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生命发展周期</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 xml:space="preserve"> （</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Te Kukunetanga</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）科研合作团队由</w:t>
                  </w:r>
                  <w:r w:rsidRPr="43448432" w:rsidR="1BFF6ABE">
                    <w:rPr>
                      <w:rFonts w:ascii="Calibri" w:hAnsi="Calibri" w:eastAsia="Calibri" w:cs="Calibri"/>
                      <w:b w:val="0"/>
                      <w:bCs w:val="0"/>
                      <w:i w:val="0"/>
                      <w:iCs w:val="0"/>
                      <w:caps w:val="0"/>
                      <w:smallCaps w:val="0"/>
                      <w:noProof w:val="0"/>
                      <w:color w:val="000000" w:themeColor="text1" w:themeTint="FF" w:themeShade="FF"/>
                      <w:sz w:val="24"/>
                      <w:szCs w:val="24"/>
                      <w:lang w:val="en-US"/>
                    </w:rPr>
                    <w:t>AUT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的新西兰运动表现研究所</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奥克兰理工大学的助产和妇女健康研究中心、体育活动和运动研究</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中心</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、国家毛利语言研究所和新西兰国防军几家机构组成。</w:t>
                  </w:r>
                </w:p>
                <w:p w:rsidR="010992EC" w:rsidP="43448432" w:rsidRDefault="010992EC" w14:paraId="719D5CE3" w14:textId="5E0E419F">
                  <w:pPr>
                    <w:spacing w:after="160" w:line="259" w:lineRule="auto"/>
                    <w:ind w:firstLine="720"/>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生命发展周期科研项目将持续多年，课题包括</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US"/>
                    </w:rPr>
                    <w:t>：</w:t>
                  </w:r>
                </w:p>
                <w:p w:rsidR="010992EC" w:rsidP="43448432" w:rsidRDefault="010992EC" w14:paraId="1F418EA5" w14:textId="56CDAFEA">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的身体</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变化</w:t>
                  </w:r>
                </w:p>
                <w:p w:rsidR="010992EC" w:rsidP="43448432" w:rsidRDefault="010992EC" w14:paraId="2B6A28F5" w14:textId="7B51466E">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运动和情感的联系</w:t>
                  </w:r>
                </w:p>
                <w:p w:rsidR="010992EC" w:rsidP="43448432" w:rsidRDefault="010992EC" w14:paraId="10214077" w14:textId="278648B0">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的姿势控制</w:t>
                  </w:r>
                </w:p>
                <w:p w:rsidR="010992EC" w:rsidP="43448432" w:rsidRDefault="010992EC" w14:paraId="68B14592" w14:textId="0D60429A">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使用预测模型来改善健康结果</w:t>
                  </w:r>
                </w:p>
                <w:p w:rsidR="010992EC" w:rsidP="43448432" w:rsidRDefault="010992EC" w14:paraId="2B337FC3" w14:textId="4BD6A038">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对空间的视觉感知</w:t>
                  </w:r>
                </w:p>
                <w:p w:rsidR="010992EC" w:rsidP="43448432" w:rsidRDefault="010992EC" w14:paraId="3771DD94" w14:textId="377FF2A3">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孕期的饮食</w:t>
                  </w:r>
                </w:p>
                <w:p w:rsidR="010992EC" w:rsidP="43448432" w:rsidRDefault="010992EC" w14:paraId="55171944" w14:textId="320E3CB2">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的跑步</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锻炼</w:t>
                  </w:r>
                </w:p>
                <w:p w:rsidR="010992EC" w:rsidP="43448432" w:rsidRDefault="010992EC" w14:paraId="3B5831D1" w14:textId="5BCE3826">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军队妇女在产</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后重返</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zh-CHS"/>
                    </w:rPr>
                    <w:t>职位的</w:t>
                  </w:r>
                  <w:r w:rsidRPr="43448432"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指南</w:t>
                  </w:r>
                </w:p>
                <w:p w:rsidR="010992EC" w:rsidP="43448432" w:rsidRDefault="010992EC" w14:paraId="2D082695" w14:textId="67679BC6">
                  <w:pPr>
                    <w:spacing w:after="160" w:line="240" w:lineRule="auto"/>
                    <w:jc w:val="both"/>
                    <w:rPr>
                      <w:rFonts w:ascii="SimSun" w:hAnsi="SimSun" w:eastAsia="SimSun" w:cs="SimSun"/>
                      <w:b w:val="0"/>
                      <w:bCs w:val="0"/>
                      <w:i w:val="0"/>
                      <w:iCs w:val="0"/>
                      <w:caps w:val="0"/>
                      <w:smallCaps w:val="0"/>
                      <w:noProof w:val="0"/>
                      <w:color w:val="000000" w:themeColor="text1" w:themeTint="FF" w:themeShade="FF"/>
                      <w:sz w:val="24"/>
                      <w:szCs w:val="24"/>
                      <w:lang w:val="en-NZ"/>
                    </w:rPr>
                  </w:pPr>
                  <w:r w:rsidRPr="7772AEA9" w:rsidR="1BFF6ABE">
                    <w:rPr>
                      <w:rFonts w:ascii="SimSun" w:hAnsi="SimSun" w:eastAsia="SimSun" w:cs="SimSun"/>
                      <w:b w:val="0"/>
                      <w:bCs w:val="0"/>
                      <w:i w:val="0"/>
                      <w:iCs w:val="0"/>
                      <w:caps w:val="0"/>
                      <w:smallCaps w:val="0"/>
                      <w:noProof w:val="0"/>
                      <w:color w:val="000000" w:themeColor="text1" w:themeTint="FF" w:themeShade="FF"/>
                      <w:sz w:val="24"/>
                      <w:szCs w:val="24"/>
                      <w:lang w:val="zh-CHS"/>
                    </w:rPr>
                    <w:t>孕期</w:t>
                  </w:r>
                  <w:r w:rsidRPr="7772AEA9"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和</w:t>
                  </w:r>
                  <w:r w:rsidRPr="7772AEA9" w:rsidR="1BFF6ABE">
                    <w:rPr>
                      <w:rFonts w:ascii="SimSun" w:hAnsi="SimSun" w:eastAsia="SimSun" w:cs="SimSun"/>
                      <w:b w:val="0"/>
                      <w:bCs w:val="0"/>
                      <w:i w:val="0"/>
                      <w:iCs w:val="0"/>
                      <w:caps w:val="0"/>
                      <w:smallCaps w:val="0"/>
                      <w:noProof w:val="0"/>
                      <w:color w:val="000000" w:themeColor="text1" w:themeTint="FF" w:themeShade="FF"/>
                      <w:sz w:val="24"/>
                      <w:szCs w:val="24"/>
                      <w:lang w:val="zh-CHS"/>
                    </w:rPr>
                    <w:t>产</w:t>
                  </w:r>
                  <w:r w:rsidRPr="7772AEA9" w:rsidR="1BFF6ABE">
                    <w:rPr>
                      <w:rFonts w:ascii="SimSun" w:hAnsi="SimSun" w:eastAsia="SimSun" w:cs="SimSun"/>
                      <w:b w:val="0"/>
                      <w:bCs w:val="0"/>
                      <w:i w:val="0"/>
                      <w:iCs w:val="0"/>
                      <w:caps w:val="0"/>
                      <w:smallCaps w:val="0"/>
                      <w:noProof w:val="0"/>
                      <w:color w:val="000000" w:themeColor="text1" w:themeTint="FF" w:themeShade="FF"/>
                      <w:sz w:val="24"/>
                      <w:szCs w:val="24"/>
                      <w:lang w:val="en-NZ" w:eastAsia="zh-CN"/>
                    </w:rPr>
                    <w:t>后的孕产妇心理健康状况</w:t>
                  </w:r>
                </w:p>
                <w:p w:rsidR="010992EC" w:rsidP="43448432" w:rsidRDefault="010992EC" w14:paraId="1DB4A7B4" w14:textId="3AC8C49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NZ"/>
                    </w:rPr>
                  </w:pPr>
                </w:p>
                <w:p w:rsidR="010992EC" w:rsidP="4FFAE463" w:rsidRDefault="010992EC" w14:paraId="51C16883" w14:textId="1E6F4D2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NZ"/>
                    </w:rPr>
                  </w:pPr>
                </w:p>
                <w:p w:rsidRPr="00A403AB" w:rsidR="0024584E" w:rsidP="004E7960" w:rsidRDefault="0024584E" w14:paraId="15B0077B" w14:textId="77777777">
                  <w:pPr>
                    <w:spacing w:after="40"/>
                    <w:rPr>
                      <w:rFonts w:ascii="Arial" w:hAnsi="Arial" w:eastAsia="Times New Roman" w:cs="Arial"/>
                      <w:b/>
                      <w:color w:val="339FAD"/>
                      <w:szCs w:val="36"/>
                      <w:lang w:eastAsia="en-NZ"/>
                    </w:rPr>
                  </w:pPr>
                </w:p>
              </w:tc>
            </w:tr>
          </w:tbl>
          <w:p w:rsidRPr="00A403AB" w:rsidR="00A403AB" w:rsidP="00A403AB" w:rsidRDefault="00A403AB" w14:paraId="4A44AA44" w14:textId="77777777">
            <w:pPr>
              <w:spacing w:after="200" w:line="276" w:lineRule="auto"/>
              <w:rPr>
                <w:rFonts w:ascii="Arial" w:hAnsi="Arial" w:cs="Arial"/>
              </w:rPr>
            </w:pPr>
          </w:p>
        </w:tc>
      </w:tr>
      <w:tr w:rsidRPr="00A403AB" w:rsidR="00A403AB" w:rsidTr="7772AEA9" w14:paraId="72A7BA9D" w14:textId="77777777">
        <w:trPr>
          <w:trHeight w:val="859"/>
        </w:trPr>
        <w:tc>
          <w:tcPr>
            <w:tcW w:w="11902" w:type="dxa"/>
            <w:tcBorders>
              <w:top w:val="nil"/>
              <w:left w:val="nil"/>
              <w:bottom w:val="nil"/>
              <w:right w:val="nil"/>
            </w:tcBorders>
            <w:tcMar/>
          </w:tcPr>
          <w:p w:rsidR="004E7960" w:rsidP="004E7960" w:rsidRDefault="004E7960" w14:paraId="33037DB7" w14:textId="77777777">
            <w:pPr>
              <w:spacing w:after="40"/>
              <w:rPr>
                <w:b/>
                <w:bCs/>
                <w:color w:val="000000"/>
              </w:rPr>
            </w:pPr>
          </w:p>
          <w:p w:rsidR="004E7960" w:rsidP="00C74EB6" w:rsidRDefault="00DF1679" w14:paraId="56641720" w14:textId="30B90334">
            <w:pPr>
              <w:spacing w:after="40"/>
              <w:rPr>
                <w:color w:val="000000"/>
              </w:rPr>
            </w:pPr>
            <w:r>
              <w:rPr>
                <w:b/>
                <w:bCs/>
                <w:color w:val="000000"/>
              </w:rPr>
              <w:t xml:space="preserve">   </w:t>
            </w:r>
          </w:p>
          <w:p w:rsidRPr="00A403AB" w:rsidR="00A403AB" w:rsidP="00A403AB" w:rsidRDefault="00A403AB" w14:paraId="58D80795" w14:textId="77777777">
            <w:pPr>
              <w:spacing w:after="200" w:line="276" w:lineRule="auto"/>
              <w:rPr>
                <w:rFonts w:ascii="Arial" w:hAnsi="Arial" w:eastAsia="Times New Roman" w:cs="Arial"/>
                <w:b/>
                <w:color w:val="339FAD"/>
                <w:sz w:val="36"/>
                <w:szCs w:val="36"/>
                <w:lang w:eastAsia="en-NZ"/>
              </w:rPr>
            </w:pPr>
          </w:p>
        </w:tc>
      </w:tr>
    </w:tbl>
    <w:p w:rsidRPr="00A403AB" w:rsidR="00F0551C" w:rsidRDefault="00F0551C" w14:paraId="27AF10EC" w14:textId="77777777">
      <w:pPr>
        <w:rPr>
          <w:rFonts w:ascii="Arial" w:hAnsi="Arial" w:cs="Arial"/>
        </w:rPr>
      </w:pPr>
    </w:p>
    <w:sectPr w:rsidRPr="00A403AB" w:rsidR="00F0551C" w:rsidSect="00A403A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email"/>
    <w:dataType w:val="textFile"/>
    <w:activeRecord w:val="-1"/>
  </w:mailMerg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AB"/>
    <w:rsid w:val="000E731C"/>
    <w:rsid w:val="0010090B"/>
    <w:rsid w:val="001F55A3"/>
    <w:rsid w:val="0024584E"/>
    <w:rsid w:val="002E5060"/>
    <w:rsid w:val="00336D5A"/>
    <w:rsid w:val="0038637B"/>
    <w:rsid w:val="004E7960"/>
    <w:rsid w:val="005161FB"/>
    <w:rsid w:val="00587A71"/>
    <w:rsid w:val="006D4DE7"/>
    <w:rsid w:val="00711515"/>
    <w:rsid w:val="00711929"/>
    <w:rsid w:val="00717CA2"/>
    <w:rsid w:val="00786A0A"/>
    <w:rsid w:val="008F1DEC"/>
    <w:rsid w:val="00902EA2"/>
    <w:rsid w:val="00915843"/>
    <w:rsid w:val="00A403AB"/>
    <w:rsid w:val="00B8790E"/>
    <w:rsid w:val="00C5402A"/>
    <w:rsid w:val="00C74EB6"/>
    <w:rsid w:val="00D3313E"/>
    <w:rsid w:val="00DF1679"/>
    <w:rsid w:val="00EB0E40"/>
    <w:rsid w:val="00F0551C"/>
    <w:rsid w:val="010992EC"/>
    <w:rsid w:val="0602764C"/>
    <w:rsid w:val="0743EA76"/>
    <w:rsid w:val="08DEE053"/>
    <w:rsid w:val="0AC706A2"/>
    <w:rsid w:val="0B33165A"/>
    <w:rsid w:val="0B7F8D86"/>
    <w:rsid w:val="0BD50FD7"/>
    <w:rsid w:val="104E774F"/>
    <w:rsid w:val="11633DC5"/>
    <w:rsid w:val="11F39C50"/>
    <w:rsid w:val="12465CF3"/>
    <w:rsid w:val="125AA6E4"/>
    <w:rsid w:val="128DA3FE"/>
    <w:rsid w:val="134EAE75"/>
    <w:rsid w:val="15708CA8"/>
    <w:rsid w:val="15BA2223"/>
    <w:rsid w:val="16AA4A2D"/>
    <w:rsid w:val="17BC57FD"/>
    <w:rsid w:val="1BFF6ABE"/>
    <w:rsid w:val="1D406D4C"/>
    <w:rsid w:val="1D851D15"/>
    <w:rsid w:val="1DBB7773"/>
    <w:rsid w:val="1FAE4185"/>
    <w:rsid w:val="20229AAD"/>
    <w:rsid w:val="2136D9E5"/>
    <w:rsid w:val="2573EC6C"/>
    <w:rsid w:val="257CC64F"/>
    <w:rsid w:val="25880BBD"/>
    <w:rsid w:val="2718D1CC"/>
    <w:rsid w:val="27CB3992"/>
    <w:rsid w:val="28831FF3"/>
    <w:rsid w:val="29A7D79A"/>
    <w:rsid w:val="2A97979E"/>
    <w:rsid w:val="2ACEEB48"/>
    <w:rsid w:val="2BD59BBE"/>
    <w:rsid w:val="2C2E4C9A"/>
    <w:rsid w:val="2D9AB638"/>
    <w:rsid w:val="348326F0"/>
    <w:rsid w:val="348AA8A6"/>
    <w:rsid w:val="355A4C80"/>
    <w:rsid w:val="36887F57"/>
    <w:rsid w:val="36B27179"/>
    <w:rsid w:val="370560E2"/>
    <w:rsid w:val="387650BF"/>
    <w:rsid w:val="3973DE53"/>
    <w:rsid w:val="3A597478"/>
    <w:rsid w:val="3ADFD404"/>
    <w:rsid w:val="3B7853AC"/>
    <w:rsid w:val="3BEFBFC6"/>
    <w:rsid w:val="3E474F76"/>
    <w:rsid w:val="3E506BEC"/>
    <w:rsid w:val="3F44AE43"/>
    <w:rsid w:val="41462FAE"/>
    <w:rsid w:val="41B44C17"/>
    <w:rsid w:val="42652987"/>
    <w:rsid w:val="42BEF4F1"/>
    <w:rsid w:val="43448432"/>
    <w:rsid w:val="43471ADB"/>
    <w:rsid w:val="437485D8"/>
    <w:rsid w:val="44482D36"/>
    <w:rsid w:val="4497168E"/>
    <w:rsid w:val="44C97DF2"/>
    <w:rsid w:val="4745BFA0"/>
    <w:rsid w:val="4893B228"/>
    <w:rsid w:val="49EDBC23"/>
    <w:rsid w:val="49F1C129"/>
    <w:rsid w:val="4C4A32B1"/>
    <w:rsid w:val="4E4EE81A"/>
    <w:rsid w:val="4F37649E"/>
    <w:rsid w:val="4F5FF9AF"/>
    <w:rsid w:val="4FFAE463"/>
    <w:rsid w:val="51F393A6"/>
    <w:rsid w:val="52DA8E25"/>
    <w:rsid w:val="52DCE3C7"/>
    <w:rsid w:val="55BF7291"/>
    <w:rsid w:val="57CFD3FD"/>
    <w:rsid w:val="57D1C6E2"/>
    <w:rsid w:val="57D56BF6"/>
    <w:rsid w:val="58D36AAD"/>
    <w:rsid w:val="5A4174F9"/>
    <w:rsid w:val="5A8C2D85"/>
    <w:rsid w:val="5DB31034"/>
    <w:rsid w:val="60A372B1"/>
    <w:rsid w:val="63DA42DB"/>
    <w:rsid w:val="64C6A888"/>
    <w:rsid w:val="66F454DE"/>
    <w:rsid w:val="683B3E56"/>
    <w:rsid w:val="6903C13E"/>
    <w:rsid w:val="6989B5AE"/>
    <w:rsid w:val="6CE49D22"/>
    <w:rsid w:val="6D3CFA53"/>
    <w:rsid w:val="6DEE8A9B"/>
    <w:rsid w:val="6E5D26D1"/>
    <w:rsid w:val="6F74F268"/>
    <w:rsid w:val="701052D3"/>
    <w:rsid w:val="70997AFB"/>
    <w:rsid w:val="70D6EF27"/>
    <w:rsid w:val="728C1C35"/>
    <w:rsid w:val="730630E3"/>
    <w:rsid w:val="73A190B0"/>
    <w:rsid w:val="74EFAF07"/>
    <w:rsid w:val="76B69FD3"/>
    <w:rsid w:val="76F68205"/>
    <w:rsid w:val="7772AEA9"/>
    <w:rsid w:val="77893218"/>
    <w:rsid w:val="77EE363D"/>
    <w:rsid w:val="78274FC9"/>
    <w:rsid w:val="7A3A0192"/>
    <w:rsid w:val="7CAFCEBF"/>
    <w:rsid w:val="7EF81A13"/>
    <w:rsid w:val="7FF2D7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298C"/>
  <w15:chartTrackingRefBased/>
  <w15:docId w15:val="{BA63022B-093F-4C03-A13A-F0AAA7DC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403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403AB"/>
    <w:rPr>
      <w:color w:val="0563C1" w:themeColor="hyperlink"/>
      <w:u w:val="single"/>
    </w:rPr>
  </w:style>
  <w:style w:type="paragraph" w:styleId="Header">
    <w:name w:val="header"/>
    <w:basedOn w:val="Normal"/>
    <w:link w:val="HeaderChar"/>
    <w:uiPriority w:val="99"/>
    <w:unhideWhenUsed/>
    <w:rsid w:val="002458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584E"/>
  </w:style>
  <w:style w:type="paragraph" w:styleId="Footer">
    <w:name w:val="footer"/>
    <w:basedOn w:val="Normal"/>
    <w:link w:val="FooterChar"/>
    <w:uiPriority w:val="99"/>
    <w:unhideWhenUsed/>
    <w:rsid w:val="002458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584E"/>
  </w:style>
  <w:style w:type="character" w:styleId="FollowedHyperlink">
    <w:name w:val="FollowedHyperlink"/>
    <w:basedOn w:val="DefaultParagraphFont"/>
    <w:uiPriority w:val="99"/>
    <w:semiHidden/>
    <w:unhideWhenUsed/>
    <w:rsid w:val="00902EA2"/>
    <w:rPr>
      <w:color w:val="954F72" w:themeColor="followed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numbering" Target="/word/numbering.xml" Id="Refdd49c41d804c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BE0E5F53F83488DCA0175B6FF11D1" ma:contentTypeVersion="9" ma:contentTypeDescription="Create a new document." ma:contentTypeScope="" ma:versionID="d933674b00fd07baf4d1b5cf7062a61e">
  <xsd:schema xmlns:xsd="http://www.w3.org/2001/XMLSchema" xmlns:xs="http://www.w3.org/2001/XMLSchema" xmlns:p="http://schemas.microsoft.com/office/2006/metadata/properties" xmlns:ns2="47421f46-f73a-4c93-a8ce-d44c97a3bb1e" targetNamespace="http://schemas.microsoft.com/office/2006/metadata/properties" ma:root="true" ma:fieldsID="d8a6d7ff46db501e78c737d57ceabf5e" ns2:_="">
    <xsd:import namespace="47421f46-f73a-4c93-a8ce-d44c97a3bb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1f46-f73a-4c93-a8ce-d44c97a3b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26D5-1663-4173-A8D7-986A2A39ABDE}">
  <ds:schemaRefs>
    <ds:schemaRef ds:uri="http://schemas.microsoft.com/office/2006/metadata/properties"/>
    <ds:schemaRef ds:uri="47421f46-f73a-4c93-a8ce-d44c97a3bb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AB3FF21-EA37-4AE7-BE8C-3C8C725C61A9}">
  <ds:schemaRefs>
    <ds:schemaRef ds:uri="http://schemas.microsoft.com/sharepoint/v3/contenttype/forms"/>
  </ds:schemaRefs>
</ds:datastoreItem>
</file>

<file path=customXml/itemProps3.xml><?xml version="1.0" encoding="utf-8"?>
<ds:datastoreItem xmlns:ds="http://schemas.openxmlformats.org/officeDocument/2006/customXml" ds:itemID="{B1048148-0C53-4812-88E7-B96C6D8EA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1f46-f73a-4c93-a8ce-d44c97a3b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6BD0B-2CF7-4F8D-AF47-2500E914D5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AUT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Denise Yeo</dc:creator>
  <keywords/>
  <dc:description/>
  <lastModifiedBy>Andrea Malcolm</lastModifiedBy>
  <revision>8</revision>
  <dcterms:created xsi:type="dcterms:W3CDTF">2021-06-11T02:14:00.0000000Z</dcterms:created>
  <dcterms:modified xsi:type="dcterms:W3CDTF">2021-07-07T03:23:00.4563302Z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0x010100023BE0E5F53F83488DCA0175B6FF11D1</vt:lpwstr>
  </property>
</Properties>
</file>