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14" w:rsidRDefault="00E36175">
      <w:pPr>
        <w:pStyle w:val="BodyText"/>
        <w:spacing w:before="3"/>
        <w:ind w:left="0"/>
        <w:rPr>
          <w:rFonts w:ascii="Times New Roman"/>
          <w:sz w:val="19"/>
        </w:rPr>
      </w:pPr>
      <w:r w:rsidRPr="00462E14">
        <w:rPr>
          <w:sz w:val="22"/>
        </w:rPr>
        <w:pict>
          <v:group id="_x0000_s1028" style="position:absolute;margin-left:402.2pt;margin-top:1.35pt;width:144.3pt;height:192.2pt;z-index:1072;mso-position-horizontal-relative:page" coordorigin="7901,232" coordsize="2886,3844">
            <v:shape id="_x0000_s1031" style="position:absolute;left:7931;top:262;width:228;height:3784" coordorigin="7931,262" coordsize="228,3784" path="m8159,262r-72,12l8024,306r-49,49l7943,418r-12,72l7931,3819r12,72l7975,3953r49,49l8087,4035r72,11e" filled="f" strokecolor="#0070c0" strokeweight="3pt">
              <v:path arrowok="t"/>
            </v:shape>
            <v:shape id="_x0000_s1030" style="position:absolute;left:10529;top:262;width:228;height:3784" coordorigin="10529,262" coordsize="228,3784" path="m10529,262r72,12l10664,306r49,49l10745,418r12,72l10757,3819r-12,72l10713,3953r-49,49l10601,4035r-72,11e" filled="f" strokecolor="#0070c0" strokeweight="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þÿ" style="position:absolute;left:8095;top:426;width:2569;height:3456">
              <v:imagedata r:id="rId7" o:title=""/>
            </v:shape>
            <w10:wrap anchorx="page"/>
          </v:group>
        </w:pict>
      </w:r>
    </w:p>
    <w:p w:rsidR="00462E14" w:rsidRDefault="00462E14">
      <w:pPr>
        <w:spacing w:before="35"/>
        <w:ind w:left="1655" w:right="5483"/>
        <w:jc w:val="center"/>
        <w:rPr>
          <w:b/>
          <w:sz w:val="32"/>
        </w:rPr>
      </w:pPr>
      <w:r w:rsidRPr="00462E14">
        <w:pict>
          <v:polyline id="_x0000_s1033" style="position:absolute;left:0;text-align:left;z-index:1024;mso-position-horizontal-relative:page" points="74.65pt,-8.7pt,72.95pt,-8.35pt,71.55pt,-7.4pt,70.65pt,-6.05pt,70.3pt,-4.35pt,70.3pt,40.9pt,70.65pt,42.6pt,71.55pt,44pt,72.95pt,44.9pt,74.65pt,45.25pt" coordorigin="703,-87" coordsize="87,1079" filled="f" strokecolor="#0070c0" strokeweight="3pt">
            <v:path arrowok="t"/>
            <w10:wrap anchorx="page"/>
          </v:polyline>
        </w:pict>
      </w:r>
      <w:r w:rsidRPr="00462E14">
        <w:pict>
          <v:polyline id="_x0000_s1032" style="position:absolute;left:0;text-align:left;z-index:1048;mso-position-horizontal-relative:page" points="725pt,-8.7pt,726.7pt,-8.35pt,728.1pt,-7.4pt,729pt,-6.05pt,729.35pt,-4.35pt,729.35pt,40.9pt,729pt,42.6pt,728.1pt,44pt,726.7pt,44.9pt,725pt,45.25pt" coordorigin="7250,-87" coordsize="87,1079" filled="f" strokecolor="#0070c0" strokeweight="3pt">
            <v:path arrowok="t"/>
            <w10:wrap anchorx="page"/>
          </v:polyline>
        </w:pict>
      </w:r>
      <w:r w:rsidR="000624D8">
        <w:rPr>
          <w:b/>
          <w:sz w:val="32"/>
        </w:rPr>
        <w:t>Dr Karen Hind</w:t>
      </w:r>
    </w:p>
    <w:p w:rsidR="00462E14" w:rsidRPr="00A77AB8" w:rsidRDefault="000624D8" w:rsidP="00A77AB8">
      <w:pPr>
        <w:ind w:left="1658" w:right="5483"/>
        <w:jc w:val="center"/>
        <w:rPr>
          <w:b/>
          <w:i/>
          <w:sz w:val="24"/>
        </w:rPr>
      </w:pPr>
      <w:r>
        <w:rPr>
          <w:b/>
          <w:sz w:val="24"/>
        </w:rPr>
        <w:t xml:space="preserve">PhD </w:t>
      </w:r>
      <w:r>
        <w:rPr>
          <w:b/>
          <w:i/>
          <w:sz w:val="24"/>
        </w:rPr>
        <w:t>Leeds</w:t>
      </w:r>
      <w:r>
        <w:rPr>
          <w:b/>
          <w:sz w:val="24"/>
        </w:rPr>
        <w:t xml:space="preserve">, Cert </w:t>
      </w:r>
      <w:proofErr w:type="spellStart"/>
      <w:r>
        <w:rPr>
          <w:b/>
          <w:sz w:val="24"/>
        </w:rPr>
        <w:t>Clin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Densitom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i/>
          <w:sz w:val="24"/>
        </w:rPr>
        <w:t>ISCD</w:t>
      </w:r>
      <w:proofErr w:type="spellEnd"/>
      <w:r>
        <w:rPr>
          <w:b/>
          <w:i/>
          <w:sz w:val="24"/>
        </w:rPr>
        <w:t>.</w:t>
      </w:r>
    </w:p>
    <w:p w:rsidR="00462E14" w:rsidRDefault="00462E14">
      <w:pPr>
        <w:pStyle w:val="BodyText"/>
        <w:spacing w:before="7"/>
        <w:ind w:left="0"/>
        <w:rPr>
          <w:b/>
          <w:i/>
          <w:sz w:val="17"/>
        </w:rPr>
      </w:pPr>
    </w:p>
    <w:p w:rsidR="00462E14" w:rsidRDefault="000624D8">
      <w:pPr>
        <w:pStyle w:val="BodyText"/>
        <w:spacing w:before="59"/>
        <w:ind w:left="160" w:right="3554"/>
        <w:jc w:val="both"/>
      </w:pPr>
      <w:r>
        <w:rPr>
          <w:b/>
          <w:color w:val="0070C0"/>
        </w:rPr>
        <w:t xml:space="preserve">Research </w:t>
      </w:r>
      <w:proofErr w:type="spellStart"/>
      <w:r>
        <w:rPr>
          <w:b/>
          <w:color w:val="0070C0"/>
        </w:rPr>
        <w:t>specialisation</w:t>
      </w:r>
      <w:proofErr w:type="spellEnd"/>
      <w:r>
        <w:rPr>
          <w:b/>
          <w:color w:val="0070C0"/>
        </w:rPr>
        <w:t xml:space="preserve">: </w:t>
      </w:r>
      <w:r>
        <w:t xml:space="preserve">Exercise and bone health; </w:t>
      </w:r>
      <w:r w:rsidR="00E36175">
        <w:t>Athlete health</w:t>
      </w:r>
      <w:r>
        <w:t xml:space="preserve">; </w:t>
      </w:r>
      <w:r w:rsidR="00E36175">
        <w:t xml:space="preserve">Sport injury; </w:t>
      </w:r>
      <w:r>
        <w:t>Musculoskeletal health; Body composition</w:t>
      </w:r>
      <w:r>
        <w:t xml:space="preserve">; </w:t>
      </w:r>
      <w:r w:rsidR="00E36175">
        <w:t xml:space="preserve">Relative energy deficiency in sports (RED-S); </w:t>
      </w:r>
      <w:r>
        <w:t xml:space="preserve">Dual energy X-ray </w:t>
      </w:r>
      <w:proofErr w:type="spellStart"/>
      <w:r>
        <w:t>absorptiometry</w:t>
      </w:r>
      <w:proofErr w:type="spellEnd"/>
      <w:r>
        <w:t xml:space="preserve"> imaging.</w:t>
      </w:r>
    </w:p>
    <w:p w:rsidR="00462E14" w:rsidRDefault="00462E14">
      <w:pPr>
        <w:pStyle w:val="BodyText"/>
        <w:spacing w:before="11"/>
        <w:ind w:left="0"/>
        <w:rPr>
          <w:sz w:val="19"/>
        </w:rPr>
      </w:pPr>
    </w:p>
    <w:p w:rsidR="00462E14" w:rsidRDefault="000624D8">
      <w:pPr>
        <w:pStyle w:val="BodyText"/>
        <w:spacing w:before="1"/>
        <w:ind w:left="160" w:right="3551"/>
        <w:jc w:val="both"/>
      </w:pPr>
      <w:r>
        <w:rPr>
          <w:b/>
          <w:color w:val="0070C0"/>
        </w:rPr>
        <w:t xml:space="preserve">Experience: </w:t>
      </w:r>
      <w:r>
        <w:t>15 years’ as an academic. Leads research in bone and body composition a</w:t>
      </w:r>
      <w:r w:rsidR="00E36175">
        <w:t>t Durham University, UK</w:t>
      </w:r>
      <w:r>
        <w:t xml:space="preserve">. </w:t>
      </w:r>
      <w:r w:rsidR="00A77AB8">
        <w:t xml:space="preserve">Fellow of the </w:t>
      </w:r>
      <w:proofErr w:type="spellStart"/>
      <w:r w:rsidR="00A77AB8">
        <w:t>Wolfson</w:t>
      </w:r>
      <w:proofErr w:type="spellEnd"/>
      <w:r w:rsidR="00A77AB8">
        <w:t xml:space="preserve"> Research Institute for Health and Wellbeing. </w:t>
      </w:r>
      <w:r w:rsidR="00E36175">
        <w:t>Chair of the Department of Sport and Exercise Sciences Research Ethics Committee. Chair of the UK-Ireland Panel, and board member of the</w:t>
      </w:r>
      <w:r>
        <w:t xml:space="preserve"> International Society for Clinical Densitometry (</w:t>
      </w:r>
      <w:proofErr w:type="spellStart"/>
      <w:r>
        <w:t>ISCD</w:t>
      </w:r>
      <w:proofErr w:type="spellEnd"/>
      <w:r>
        <w:t>)</w:t>
      </w:r>
      <w:r>
        <w:t>.</w:t>
      </w:r>
      <w:r w:rsidR="00E36175">
        <w:t xml:space="preserve"> Visiting Fellow at Newcastle University (UK) and Adjunct Associate Professor at Trinity College Dublin.</w:t>
      </w:r>
      <w:r>
        <w:t xml:space="preserve"> </w:t>
      </w:r>
      <w:r w:rsidR="00A77AB8">
        <w:t xml:space="preserve">Editorial board for two journals and provides regular journal and funding body peer review. </w:t>
      </w:r>
      <w:r>
        <w:t>Former GB athlete.</w:t>
      </w:r>
    </w:p>
    <w:p w:rsidR="00462E14" w:rsidRDefault="00462E14" w:rsidP="00A77AB8">
      <w:pPr>
        <w:pStyle w:val="BodyText"/>
        <w:spacing w:before="10"/>
        <w:ind w:left="0"/>
        <w:jc w:val="both"/>
        <w:rPr>
          <w:sz w:val="19"/>
        </w:rPr>
      </w:pPr>
    </w:p>
    <w:p w:rsidR="00A77AB8" w:rsidRDefault="000624D8" w:rsidP="00A77AB8">
      <w:pPr>
        <w:pStyle w:val="BodyText"/>
        <w:ind w:left="160" w:right="117"/>
        <w:jc w:val="both"/>
      </w:pPr>
      <w:r>
        <w:rPr>
          <w:b/>
          <w:color w:val="0070C0"/>
        </w:rPr>
        <w:t>Research overview:</w:t>
      </w:r>
      <w:r w:rsidR="00E36175">
        <w:t xml:space="preserve"> Global Rugby Health Research </w:t>
      </w:r>
      <w:proofErr w:type="spellStart"/>
      <w:r w:rsidR="00E36175">
        <w:t>Programme</w:t>
      </w:r>
      <w:proofErr w:type="spellEnd"/>
      <w:r w:rsidR="00E36175">
        <w:t xml:space="preserve"> and the UK Rugby Health Project Lead. Researches</w:t>
      </w:r>
      <w:r>
        <w:t xml:space="preserve"> </w:t>
      </w:r>
      <w:r w:rsidR="00BD5EAA">
        <w:t xml:space="preserve">bone strength in athletes, </w:t>
      </w:r>
      <w:r>
        <w:t xml:space="preserve">strategies for </w:t>
      </w:r>
      <w:r w:rsidR="00BD5EAA">
        <w:t>improving</w:t>
      </w:r>
      <w:r>
        <w:t xml:space="preserve"> bone strength and </w:t>
      </w:r>
      <w:r w:rsidR="00BD5EAA">
        <w:t xml:space="preserve">for </w:t>
      </w:r>
      <w:r>
        <w:t xml:space="preserve">improving the identification </w:t>
      </w:r>
      <w:r w:rsidR="00A77AB8">
        <w:t xml:space="preserve">and management </w:t>
      </w:r>
      <w:r>
        <w:t xml:space="preserve">of risk of </w:t>
      </w:r>
      <w:r>
        <w:t>injury in athletes an</w:t>
      </w:r>
      <w:r>
        <w:t xml:space="preserve">d wider, across the lifespan. </w:t>
      </w:r>
      <w:r w:rsidR="00E36175">
        <w:t>Appointed to</w:t>
      </w:r>
      <w:r>
        <w:t xml:space="preserve"> </w:t>
      </w:r>
      <w:r w:rsidR="00E36175">
        <w:t xml:space="preserve">Durham University in September 2018, previously a Senior Research Fellow at Leeds Beckett University. Her </w:t>
      </w:r>
      <w:r>
        <w:t>ongoi</w:t>
      </w:r>
      <w:r w:rsidR="00E36175">
        <w:t xml:space="preserve">ng </w:t>
      </w:r>
      <w:r w:rsidR="00BD5EAA">
        <w:t xml:space="preserve">athlete-focused </w:t>
      </w:r>
      <w:r w:rsidR="00E36175">
        <w:t xml:space="preserve">research </w:t>
      </w:r>
      <w:proofErr w:type="spellStart"/>
      <w:r w:rsidR="00E36175">
        <w:t>programmes</w:t>
      </w:r>
      <w:proofErr w:type="spellEnd"/>
      <w:r w:rsidR="00E36175">
        <w:t xml:space="preserve"> include current and former rugby player health</w:t>
      </w:r>
      <w:r w:rsidR="00BD5EAA">
        <w:t xml:space="preserve"> (</w:t>
      </w:r>
      <w:proofErr w:type="spellStart"/>
      <w:r w:rsidR="00A77AB8">
        <w:t>neurocognitive</w:t>
      </w:r>
      <w:proofErr w:type="spellEnd"/>
      <w:r w:rsidR="00A77AB8">
        <w:t xml:space="preserve">, </w:t>
      </w:r>
      <w:r w:rsidR="00BD5EAA">
        <w:t>musculoskeletal, concussion</w:t>
      </w:r>
      <w:r w:rsidR="00A77AB8">
        <w:t>, post concussion syndrome</w:t>
      </w:r>
      <w:r w:rsidR="00BD5EAA">
        <w:t xml:space="preserve">, and </w:t>
      </w:r>
      <w:r w:rsidR="00A77AB8">
        <w:t xml:space="preserve">general health and </w:t>
      </w:r>
      <w:r w:rsidR="00BD5EAA">
        <w:t>wellbeing)</w:t>
      </w:r>
      <w:r w:rsidR="00E36175">
        <w:t xml:space="preserve">, strategies for the prevention, assessment and treatment of RED-S, </w:t>
      </w:r>
      <w:r w:rsidR="00BD5EAA">
        <w:t xml:space="preserve">and </w:t>
      </w:r>
      <w:proofErr w:type="spellStart"/>
      <w:r>
        <w:t>DXA</w:t>
      </w:r>
      <w:proofErr w:type="spellEnd"/>
      <w:r>
        <w:t xml:space="preserve"> </w:t>
      </w:r>
      <w:r w:rsidR="00BD5EAA">
        <w:t>protocols for bone and body composition assessment in athletes</w:t>
      </w:r>
      <w:r>
        <w:t xml:space="preserve">. </w:t>
      </w:r>
      <w:r w:rsidR="00A77AB8">
        <w:t xml:space="preserve">Instrumental in the development of an online RED-S educational resource </w:t>
      </w:r>
      <w:proofErr w:type="spellStart"/>
      <w:r w:rsidR="00A77AB8">
        <w:t>www.health4performance.co.uk</w:t>
      </w:r>
      <w:proofErr w:type="spellEnd"/>
      <w:r w:rsidR="00A77AB8">
        <w:t xml:space="preserve"> </w:t>
      </w:r>
    </w:p>
    <w:p w:rsidR="00462E14" w:rsidRDefault="00462E14">
      <w:pPr>
        <w:pStyle w:val="BodyText"/>
        <w:spacing w:before="2"/>
        <w:ind w:left="0"/>
      </w:pPr>
    </w:p>
    <w:p w:rsidR="00462E14" w:rsidRDefault="000624D8">
      <w:pPr>
        <w:pStyle w:val="BodyText"/>
        <w:ind w:left="159" w:right="116"/>
        <w:jc w:val="both"/>
      </w:pPr>
      <w:r>
        <w:rPr>
          <w:b/>
          <w:color w:val="0070C0"/>
        </w:rPr>
        <w:t xml:space="preserve">Postgraduate supervision: </w:t>
      </w:r>
      <w:r w:rsidR="00E36175">
        <w:t>Currently supervising 6</w:t>
      </w:r>
      <w:r>
        <w:t xml:space="preserve"> PhD students</w:t>
      </w:r>
      <w:r w:rsidR="00BD5EAA">
        <w:t xml:space="preserve"> and 2 Masters by Research students</w:t>
      </w:r>
      <w:r>
        <w:t>. 1 PhD</w:t>
      </w:r>
      <w:r>
        <w:t xml:space="preserve"> student and 7 Masters theses students to completion</w:t>
      </w:r>
      <w:r w:rsidR="00E36175">
        <w:t xml:space="preserve"> and young investigator awards</w:t>
      </w:r>
      <w:r>
        <w:t xml:space="preserve">. Topics have ranged from </w:t>
      </w:r>
      <w:r w:rsidR="00E36175">
        <w:t xml:space="preserve">musculoskeletal and neuromuscular health in former rugby players, neurovascular </w:t>
      </w:r>
      <w:r w:rsidR="00BD5EAA">
        <w:t xml:space="preserve">assessment by near infra red spectroscopy in former rugby players, </w:t>
      </w:r>
      <w:r>
        <w:t>skeletal and maturational associations with gymnastics training</w:t>
      </w:r>
      <w:r w:rsidR="00BD5EAA">
        <w:t>, and</w:t>
      </w:r>
      <w:r>
        <w:t xml:space="preserve"> injury risk identification in </w:t>
      </w:r>
      <w:r w:rsidR="00BD5EAA">
        <w:t xml:space="preserve">rowing, </w:t>
      </w:r>
      <w:r>
        <w:t xml:space="preserve">football and rugby. PhD and </w:t>
      </w:r>
      <w:proofErr w:type="spellStart"/>
      <w:r>
        <w:t>MRes</w:t>
      </w:r>
      <w:proofErr w:type="spellEnd"/>
      <w:r>
        <w:t xml:space="preserve"> examiner.</w:t>
      </w:r>
    </w:p>
    <w:p w:rsidR="00462E14" w:rsidRDefault="00462E14">
      <w:pPr>
        <w:pStyle w:val="BodyText"/>
        <w:ind w:left="0"/>
      </w:pPr>
    </w:p>
    <w:p w:rsidR="00BD5EAA" w:rsidRDefault="000624D8" w:rsidP="00BD5EAA">
      <w:pPr>
        <w:pStyle w:val="BodyText"/>
        <w:ind w:left="160" w:right="117"/>
        <w:jc w:val="both"/>
      </w:pPr>
      <w:r>
        <w:rPr>
          <w:b/>
          <w:color w:val="0070C0"/>
        </w:rPr>
        <w:t>Research publicatio</w:t>
      </w:r>
      <w:r>
        <w:rPr>
          <w:b/>
          <w:color w:val="0070C0"/>
        </w:rPr>
        <w:t xml:space="preserve">ns: </w:t>
      </w:r>
      <w:r w:rsidR="00E36175">
        <w:t>110</w:t>
      </w:r>
      <w:r>
        <w:t xml:space="preserve"> publications in journals (</w:t>
      </w:r>
      <w:r w:rsidR="00E36175">
        <w:t>64), chapters (4</w:t>
      </w:r>
      <w:r>
        <w:t>) and conferenc</w:t>
      </w:r>
      <w:r w:rsidR="00E36175">
        <w:t>e paper/abstract proceedings (42</w:t>
      </w:r>
      <w:r>
        <w:t>). Example publications:</w:t>
      </w:r>
    </w:p>
    <w:p w:rsidR="00BD5EAA" w:rsidRPr="00BD5EAA" w:rsidRDefault="00BD5EAA" w:rsidP="00BD5EAA">
      <w:pPr>
        <w:pStyle w:val="BodyText"/>
        <w:ind w:right="117" w:hanging="284"/>
        <w:rPr>
          <w:rFonts w:asciiTheme="minorHAnsi" w:hAnsiTheme="minorHAnsi" w:cs="Segoe UI"/>
          <w:color w:val="000000"/>
          <w:shd w:val="clear" w:color="auto" w:fill="FFFFFF"/>
        </w:rPr>
      </w:pPr>
      <w:r w:rsidRPr="00BD5EAA">
        <w:rPr>
          <w:rFonts w:asciiTheme="minorHAnsi" w:hAnsiTheme="minorHAnsi" w:cs="Segoe UI"/>
        </w:rPr>
        <w:t xml:space="preserve">Hillier M, Sutton L, James L, Hind K. (2019) Prevalence, magnitude and influencers of rapid weight loss in mixed martial arts. </w:t>
      </w:r>
      <w:r>
        <w:rPr>
          <w:rFonts w:asciiTheme="minorHAnsi" w:hAnsiTheme="minorHAnsi" w:cs="Segoe UI"/>
        </w:rPr>
        <w:tab/>
      </w:r>
      <w:r w:rsidRPr="00BD5EAA">
        <w:rPr>
          <w:rFonts w:asciiTheme="minorHAnsi" w:hAnsiTheme="minorHAnsi" w:cs="Segoe UI"/>
        </w:rPr>
        <w:t xml:space="preserve">International Journal of Sports Nutrition and Exercise Metabolism </w:t>
      </w:r>
      <w:r w:rsidRPr="00BD5EAA">
        <w:rPr>
          <w:rFonts w:asciiTheme="minorHAnsi" w:hAnsiTheme="minorHAnsi" w:cs="Segoe UI"/>
          <w:color w:val="000000"/>
          <w:shd w:val="clear" w:color="auto" w:fill="FFFFFF"/>
        </w:rPr>
        <w:t xml:space="preserve">1-25 </w:t>
      </w:r>
      <w:proofErr w:type="spellStart"/>
      <w:r w:rsidRPr="00BD5EAA">
        <w:rPr>
          <w:rFonts w:asciiTheme="minorHAnsi" w:hAnsiTheme="minorHAnsi" w:cs="Segoe UI"/>
          <w:color w:val="000000"/>
          <w:shd w:val="clear" w:color="auto" w:fill="FFFFFF"/>
        </w:rPr>
        <w:t>doi</w:t>
      </w:r>
      <w:proofErr w:type="spellEnd"/>
      <w:r w:rsidRPr="00BD5EAA">
        <w:rPr>
          <w:rFonts w:asciiTheme="minorHAnsi" w:hAnsiTheme="minorHAnsi" w:cs="Segoe UI"/>
          <w:color w:val="000000"/>
          <w:shd w:val="clear" w:color="auto" w:fill="FFFFFF"/>
        </w:rPr>
        <w:t>: 10.1123/</w:t>
      </w:r>
      <w:proofErr w:type="spellStart"/>
      <w:r w:rsidRPr="00BD5EAA">
        <w:rPr>
          <w:rFonts w:asciiTheme="minorHAnsi" w:hAnsiTheme="minorHAnsi" w:cs="Segoe UI"/>
          <w:color w:val="000000"/>
          <w:shd w:val="clear" w:color="auto" w:fill="FFFFFF"/>
        </w:rPr>
        <w:t>ijsnem.2018-0393</w:t>
      </w:r>
      <w:proofErr w:type="spellEnd"/>
    </w:p>
    <w:p w:rsidR="00BD5EAA" w:rsidRPr="00BD5EAA" w:rsidRDefault="00BD5EAA" w:rsidP="00BD5EAA">
      <w:pPr>
        <w:pStyle w:val="BodyText"/>
        <w:ind w:right="117" w:hanging="284"/>
        <w:rPr>
          <w:rFonts w:asciiTheme="minorHAnsi" w:hAnsiTheme="minorHAnsi" w:cs="Segoe UI"/>
        </w:rPr>
      </w:pPr>
      <w:proofErr w:type="spellStart"/>
      <w:r w:rsidRPr="00BD5EAA">
        <w:rPr>
          <w:rFonts w:asciiTheme="minorHAnsi" w:hAnsiTheme="minorHAnsi" w:cs="Segoe UI"/>
        </w:rPr>
        <w:t>Keay</w:t>
      </w:r>
      <w:proofErr w:type="spellEnd"/>
      <w:r w:rsidRPr="00BD5EAA">
        <w:rPr>
          <w:rFonts w:asciiTheme="minorHAnsi" w:hAnsiTheme="minorHAnsi" w:cs="Segoe UI"/>
        </w:rPr>
        <w:t xml:space="preserve"> N, Francis G, </w:t>
      </w:r>
      <w:proofErr w:type="spellStart"/>
      <w:r w:rsidRPr="00BD5EAA">
        <w:rPr>
          <w:rFonts w:asciiTheme="minorHAnsi" w:hAnsiTheme="minorHAnsi" w:cs="Segoe UI"/>
        </w:rPr>
        <w:t>Entwistle</w:t>
      </w:r>
      <w:proofErr w:type="spellEnd"/>
      <w:r w:rsidRPr="00BD5EAA">
        <w:rPr>
          <w:rFonts w:asciiTheme="minorHAnsi" w:hAnsiTheme="minorHAnsi" w:cs="Segoe UI"/>
        </w:rPr>
        <w:t xml:space="preserve"> I, Hind K. (2019) Clinical evaluation of the effectiveness and practical management of competitive </w:t>
      </w:r>
      <w:r>
        <w:rPr>
          <w:rFonts w:asciiTheme="minorHAnsi" w:hAnsiTheme="minorHAnsi" w:cs="Segoe UI"/>
        </w:rPr>
        <w:tab/>
      </w:r>
      <w:r w:rsidRPr="00BD5EAA">
        <w:rPr>
          <w:rFonts w:asciiTheme="minorHAnsi" w:hAnsiTheme="minorHAnsi" w:cs="Segoe UI"/>
        </w:rPr>
        <w:t xml:space="preserve">male road cyclists at risk of relative energy deficiency in sports. British Medical Journal, Open Sport and Exercise </w:t>
      </w:r>
      <w:proofErr w:type="spellStart"/>
      <w:r w:rsidRPr="00BD5EAA">
        <w:rPr>
          <w:rFonts w:asciiTheme="minorHAnsi" w:hAnsiTheme="minorHAnsi" w:cs="Segoe UI"/>
        </w:rPr>
        <w:t>Medicine</w:t>
      </w:r>
      <w:proofErr w:type="spellEnd"/>
    </w:p>
    <w:p w:rsidR="00BD5EAA" w:rsidRPr="00BD5EAA" w:rsidRDefault="00BD5EAA" w:rsidP="00BD5EAA">
      <w:pPr>
        <w:pStyle w:val="BodyText"/>
        <w:ind w:right="117" w:hanging="284"/>
        <w:rPr>
          <w:rFonts w:asciiTheme="minorHAnsi" w:hAnsiTheme="minorHAnsi" w:cs="Segoe UI"/>
          <w:shd w:val="clear" w:color="auto" w:fill="FFFFFF"/>
        </w:rPr>
      </w:pPr>
      <w:proofErr w:type="spellStart"/>
      <w:r w:rsidRPr="00BD5EAA">
        <w:rPr>
          <w:rFonts w:asciiTheme="minorHAnsi" w:hAnsiTheme="minorHAnsi" w:cs="Segoe UI"/>
          <w:shd w:val="clear" w:color="auto" w:fill="FFFFFF"/>
        </w:rPr>
        <w:t>Zemski</w:t>
      </w:r>
      <w:proofErr w:type="spellEnd"/>
      <w:r w:rsidRPr="00BD5EAA">
        <w:rPr>
          <w:rFonts w:asciiTheme="minorHAnsi" w:hAnsiTheme="minorHAnsi" w:cs="Segoe UI"/>
          <w:shd w:val="clear" w:color="auto" w:fill="FFFFFF"/>
        </w:rPr>
        <w:t xml:space="preserve"> A, Hind K, </w:t>
      </w:r>
      <w:proofErr w:type="spellStart"/>
      <w:r w:rsidRPr="00BD5EAA">
        <w:rPr>
          <w:rFonts w:asciiTheme="minorHAnsi" w:hAnsiTheme="minorHAnsi" w:cs="Segoe UI"/>
          <w:shd w:val="clear" w:color="auto" w:fill="FFFFFF"/>
        </w:rPr>
        <w:t>Oldroyd</w:t>
      </w:r>
      <w:proofErr w:type="spellEnd"/>
      <w:r w:rsidRPr="00BD5EAA">
        <w:rPr>
          <w:rFonts w:asciiTheme="minorHAnsi" w:hAnsiTheme="minorHAnsi" w:cs="Segoe UI"/>
          <w:shd w:val="clear" w:color="auto" w:fill="FFFFFF"/>
        </w:rPr>
        <w:t xml:space="preserve"> B, Keating S, Beard E, Marsh D, Slater G. (2018) </w:t>
      </w:r>
      <w:r w:rsidRPr="00BD5EAA">
        <w:rPr>
          <w:rFonts w:asciiTheme="minorHAnsi" w:hAnsiTheme="minorHAnsi" w:cs="Segoe UI"/>
          <w:color w:val="212121"/>
          <w:shd w:val="clear" w:color="auto" w:fill="FFFFFF"/>
        </w:rPr>
        <w:t xml:space="preserve">Same-day versus consecutive-day precision error of </w:t>
      </w:r>
      <w:r>
        <w:rPr>
          <w:rFonts w:asciiTheme="minorHAnsi" w:hAnsiTheme="minorHAnsi" w:cs="Segoe UI"/>
          <w:color w:val="212121"/>
          <w:shd w:val="clear" w:color="auto" w:fill="FFFFFF"/>
        </w:rPr>
        <w:tab/>
      </w:r>
      <w:r w:rsidRPr="00BD5EAA">
        <w:rPr>
          <w:rFonts w:asciiTheme="minorHAnsi" w:hAnsiTheme="minorHAnsi" w:cs="Segoe UI"/>
          <w:color w:val="212121"/>
          <w:shd w:val="clear" w:color="auto" w:fill="FFFFFF"/>
        </w:rPr>
        <w:t xml:space="preserve">dual-energy X-ray </w:t>
      </w:r>
      <w:proofErr w:type="spellStart"/>
      <w:r w:rsidRPr="00BD5EAA">
        <w:rPr>
          <w:rFonts w:asciiTheme="minorHAnsi" w:hAnsiTheme="minorHAnsi" w:cs="Segoe UI"/>
          <w:color w:val="212121"/>
          <w:shd w:val="clear" w:color="auto" w:fill="FFFFFF"/>
        </w:rPr>
        <w:t>absorptiometry</w:t>
      </w:r>
      <w:proofErr w:type="spellEnd"/>
      <w:r w:rsidRPr="00BD5EAA">
        <w:rPr>
          <w:rFonts w:asciiTheme="minorHAnsi" w:hAnsiTheme="minorHAnsi" w:cs="Segoe UI"/>
          <w:color w:val="212121"/>
          <w:shd w:val="clear" w:color="auto" w:fill="FFFFFF"/>
        </w:rPr>
        <w:t xml:space="preserve"> for interpreting body composition change in resistance trained athletes. </w:t>
      </w:r>
      <w:r w:rsidRPr="00BD5EAA">
        <w:rPr>
          <w:rFonts w:asciiTheme="minorHAnsi" w:hAnsiTheme="minorHAnsi" w:cs="Segoe UI"/>
          <w:shd w:val="clear" w:color="auto" w:fill="FFFFFF"/>
        </w:rPr>
        <w:t xml:space="preserve">Journal of </w:t>
      </w:r>
      <w:r>
        <w:rPr>
          <w:rFonts w:asciiTheme="minorHAnsi" w:hAnsiTheme="minorHAnsi" w:cs="Segoe UI"/>
          <w:shd w:val="clear" w:color="auto" w:fill="FFFFFF"/>
        </w:rPr>
        <w:tab/>
      </w:r>
      <w:r w:rsidRPr="00BD5EAA">
        <w:rPr>
          <w:rFonts w:asciiTheme="minorHAnsi" w:hAnsiTheme="minorHAnsi" w:cs="Segoe UI"/>
          <w:shd w:val="clear" w:color="auto" w:fill="FFFFFF"/>
        </w:rPr>
        <w:t xml:space="preserve">Clinical Densitometry, </w:t>
      </w:r>
      <w:r w:rsidR="00A77AB8">
        <w:rPr>
          <w:rFonts w:asciiTheme="minorHAnsi" w:hAnsiTheme="minorHAnsi" w:cs="Arial"/>
          <w:color w:val="000000"/>
          <w:shd w:val="clear" w:color="auto" w:fill="FFFFFF"/>
        </w:rPr>
        <w:t>22 (1)</w:t>
      </w:r>
      <w:r w:rsidR="00A77AB8" w:rsidRPr="00A77AB8">
        <w:rPr>
          <w:rFonts w:asciiTheme="minorHAnsi" w:hAnsiTheme="minorHAnsi" w:cs="Arial"/>
          <w:color w:val="000000"/>
          <w:shd w:val="clear" w:color="auto" w:fill="FFFFFF"/>
        </w:rPr>
        <w:t>104-114</w:t>
      </w:r>
      <w:r w:rsidR="00A77AB8">
        <w:rPr>
          <w:rFonts w:asciiTheme="minorHAnsi" w:hAnsiTheme="minorHAnsi" w:cs="Arial"/>
          <w:color w:val="000000"/>
          <w:shd w:val="clear" w:color="auto" w:fill="FFFFFF"/>
        </w:rPr>
        <w:t>.</w:t>
      </w:r>
    </w:p>
    <w:p w:rsidR="00BD5EAA" w:rsidRPr="00BD5EAA" w:rsidRDefault="00BD5EAA" w:rsidP="00BD5EAA">
      <w:pPr>
        <w:pStyle w:val="BodyText"/>
        <w:ind w:right="117" w:hanging="284"/>
        <w:rPr>
          <w:rFonts w:asciiTheme="minorHAnsi" w:hAnsiTheme="minorHAnsi" w:cs="Segoe UI"/>
        </w:rPr>
      </w:pPr>
      <w:proofErr w:type="spellStart"/>
      <w:r w:rsidRPr="00BD5EAA">
        <w:rPr>
          <w:rFonts w:asciiTheme="minorHAnsi" w:hAnsiTheme="minorHAnsi" w:cs="Segoe UI"/>
        </w:rPr>
        <w:t>Keay</w:t>
      </w:r>
      <w:proofErr w:type="spellEnd"/>
      <w:r w:rsidRPr="00BD5EAA">
        <w:rPr>
          <w:rFonts w:asciiTheme="minorHAnsi" w:hAnsiTheme="minorHAnsi" w:cs="Segoe UI"/>
        </w:rPr>
        <w:t xml:space="preserve"> N, Francis G, Hind K. (2018) Low energy availability assessed by a sport-specific questionnaire and clinical interview is </w:t>
      </w:r>
      <w:r>
        <w:rPr>
          <w:rFonts w:asciiTheme="minorHAnsi" w:hAnsiTheme="minorHAnsi" w:cs="Segoe UI"/>
        </w:rPr>
        <w:tab/>
      </w:r>
      <w:r w:rsidRPr="00BD5EAA">
        <w:rPr>
          <w:rFonts w:asciiTheme="minorHAnsi" w:hAnsiTheme="minorHAnsi" w:cs="Segoe UI"/>
        </w:rPr>
        <w:t xml:space="preserve">indicative of bone health, endocrine profile and performance in competitive male cyclists. </w:t>
      </w:r>
      <w:proofErr w:type="spellStart"/>
      <w:r w:rsidRPr="00BD5EAA">
        <w:rPr>
          <w:rFonts w:asciiTheme="minorHAnsi" w:hAnsiTheme="minorHAnsi" w:cs="Segoe UI"/>
        </w:rPr>
        <w:t>BMJ</w:t>
      </w:r>
      <w:proofErr w:type="spellEnd"/>
      <w:r w:rsidRPr="00BD5EAA">
        <w:rPr>
          <w:rFonts w:asciiTheme="minorHAnsi" w:hAnsiTheme="minorHAnsi" w:cs="Segoe UI"/>
        </w:rPr>
        <w:t xml:space="preserve"> Open Sport and Exercise </w:t>
      </w:r>
      <w:r>
        <w:rPr>
          <w:rFonts w:asciiTheme="minorHAnsi" w:hAnsiTheme="minorHAnsi" w:cs="Segoe UI"/>
        </w:rPr>
        <w:tab/>
      </w:r>
      <w:r w:rsidRPr="00BD5EAA">
        <w:rPr>
          <w:rFonts w:asciiTheme="minorHAnsi" w:hAnsiTheme="minorHAnsi" w:cs="Segoe UI"/>
        </w:rPr>
        <w:t xml:space="preserve">Medicine </w:t>
      </w:r>
      <w:hyperlink r:id="rId8" w:history="1">
        <w:r w:rsidRPr="00BD5EAA">
          <w:rPr>
            <w:rStyle w:val="Hyperlink"/>
            <w:rFonts w:asciiTheme="minorHAnsi" w:hAnsiTheme="minorHAnsi" w:cs="Segoe UI"/>
            <w:u w:val="none"/>
          </w:rPr>
          <w:t>http://</w:t>
        </w:r>
        <w:proofErr w:type="spellStart"/>
        <w:r w:rsidRPr="00BD5EAA">
          <w:rPr>
            <w:rStyle w:val="Hyperlink"/>
            <w:rFonts w:asciiTheme="minorHAnsi" w:hAnsiTheme="minorHAnsi" w:cs="Segoe UI"/>
            <w:u w:val="none"/>
          </w:rPr>
          <w:t>dx.doi.org</w:t>
        </w:r>
        <w:proofErr w:type="spellEnd"/>
        <w:r w:rsidRPr="00BD5EAA">
          <w:rPr>
            <w:rStyle w:val="Hyperlink"/>
            <w:rFonts w:asciiTheme="minorHAnsi" w:hAnsiTheme="minorHAnsi" w:cs="Segoe UI"/>
            <w:u w:val="none"/>
          </w:rPr>
          <w:t>/10.1136/</w:t>
        </w:r>
        <w:proofErr w:type="spellStart"/>
        <w:r w:rsidRPr="00BD5EAA">
          <w:rPr>
            <w:rStyle w:val="Hyperlink"/>
            <w:rFonts w:asciiTheme="minorHAnsi" w:hAnsiTheme="minorHAnsi" w:cs="Segoe UI"/>
            <w:u w:val="none"/>
          </w:rPr>
          <w:t>bmjsem</w:t>
        </w:r>
        <w:proofErr w:type="spellEnd"/>
        <w:r w:rsidRPr="00BD5EAA">
          <w:rPr>
            <w:rStyle w:val="Hyperlink"/>
            <w:rFonts w:asciiTheme="minorHAnsi" w:hAnsiTheme="minorHAnsi" w:cs="Segoe UI"/>
            <w:u w:val="none"/>
          </w:rPr>
          <w:t>-2018-000424</w:t>
        </w:r>
      </w:hyperlink>
      <w:r w:rsidRPr="00BD5EAA">
        <w:rPr>
          <w:rFonts w:asciiTheme="minorHAnsi" w:hAnsiTheme="minorHAnsi" w:cs="Segoe UI"/>
        </w:rPr>
        <w:t xml:space="preserve"> </w:t>
      </w:r>
    </w:p>
    <w:p w:rsidR="00BD5EAA" w:rsidRPr="00BD5EAA" w:rsidRDefault="00BD5EAA" w:rsidP="00BD5EAA">
      <w:pPr>
        <w:pStyle w:val="BodyText"/>
        <w:ind w:right="117" w:hanging="284"/>
        <w:rPr>
          <w:rFonts w:asciiTheme="minorHAnsi" w:hAnsiTheme="minorHAnsi" w:cs="Segoe UI"/>
          <w:color w:val="000000"/>
          <w:shd w:val="clear" w:color="auto" w:fill="FFFFFF"/>
        </w:rPr>
      </w:pPr>
      <w:proofErr w:type="spellStart"/>
      <w:r w:rsidRPr="00BD5EAA">
        <w:rPr>
          <w:rFonts w:asciiTheme="minorHAnsi" w:hAnsiTheme="minorHAnsi" w:cs="Segoe UI"/>
          <w:shd w:val="clear" w:color="auto" w:fill="FFFFFF"/>
        </w:rPr>
        <w:t>Zemski</w:t>
      </w:r>
      <w:proofErr w:type="spellEnd"/>
      <w:r w:rsidRPr="00BD5EAA">
        <w:rPr>
          <w:rFonts w:asciiTheme="minorHAnsi" w:hAnsiTheme="minorHAnsi" w:cs="Segoe UI"/>
          <w:shd w:val="clear" w:color="auto" w:fill="FFFFFF"/>
        </w:rPr>
        <w:t xml:space="preserve"> A, Beard E, Keating S, Hind K, Slater G. (2018) Pre-season body composition adaptations in elite Caucasian and Polynesian </w:t>
      </w:r>
      <w:r>
        <w:rPr>
          <w:rFonts w:asciiTheme="minorHAnsi" w:hAnsiTheme="minorHAnsi" w:cs="Segoe UI"/>
          <w:shd w:val="clear" w:color="auto" w:fill="FFFFFF"/>
        </w:rPr>
        <w:tab/>
      </w:r>
      <w:r w:rsidRPr="00BD5EAA">
        <w:rPr>
          <w:rFonts w:asciiTheme="minorHAnsi" w:hAnsiTheme="minorHAnsi" w:cs="Segoe UI"/>
          <w:shd w:val="clear" w:color="auto" w:fill="FFFFFF"/>
        </w:rPr>
        <w:t xml:space="preserve">rugby union athletes. International Journal of Sport Nutrition and Exercise Metabolism </w:t>
      </w:r>
      <w:r>
        <w:rPr>
          <w:rFonts w:asciiTheme="minorHAnsi" w:hAnsiTheme="minorHAnsi" w:cs="Segoe UI"/>
          <w:shd w:val="clear" w:color="auto" w:fill="FFFFFF"/>
        </w:rPr>
        <w:tab/>
      </w:r>
      <w:hyperlink r:id="rId9" w:history="1">
        <w:r w:rsidRPr="00BD5EAA">
          <w:rPr>
            <w:rStyle w:val="Hyperlink"/>
            <w:rFonts w:asciiTheme="minorHAnsi" w:hAnsiTheme="minorHAnsi" w:cs="Segoe UI"/>
            <w:u w:val="none"/>
            <w:shd w:val="clear" w:color="auto" w:fill="FFFFFF"/>
          </w:rPr>
          <w:t>https://</w:t>
        </w:r>
        <w:proofErr w:type="spellStart"/>
        <w:r w:rsidRPr="00BD5EAA">
          <w:rPr>
            <w:rStyle w:val="Hyperlink"/>
            <w:rFonts w:asciiTheme="minorHAnsi" w:hAnsiTheme="minorHAnsi" w:cs="Segoe UI"/>
            <w:u w:val="none"/>
            <w:shd w:val="clear" w:color="auto" w:fill="FFFFFF"/>
          </w:rPr>
          <w:t>doi.org</w:t>
        </w:r>
        <w:proofErr w:type="spellEnd"/>
        <w:r w:rsidRPr="00BD5EAA">
          <w:rPr>
            <w:rStyle w:val="Hyperlink"/>
            <w:rFonts w:asciiTheme="minorHAnsi" w:hAnsiTheme="minorHAnsi" w:cs="Segoe UI"/>
            <w:u w:val="none"/>
            <w:shd w:val="clear" w:color="auto" w:fill="FFFFFF"/>
          </w:rPr>
          <w:t>/10.1123/</w:t>
        </w:r>
        <w:proofErr w:type="spellStart"/>
        <w:r w:rsidRPr="00BD5EAA">
          <w:rPr>
            <w:rStyle w:val="Hyperlink"/>
            <w:rFonts w:asciiTheme="minorHAnsi" w:hAnsiTheme="minorHAnsi" w:cs="Segoe UI"/>
            <w:u w:val="none"/>
            <w:shd w:val="clear" w:color="auto" w:fill="FFFFFF"/>
          </w:rPr>
          <w:t>ijsnem.2018</w:t>
        </w:r>
        <w:proofErr w:type="spellEnd"/>
        <w:r w:rsidRPr="00BD5EAA">
          <w:rPr>
            <w:rStyle w:val="Hyperlink"/>
            <w:rFonts w:asciiTheme="minorHAnsi" w:hAnsiTheme="minorHAnsi" w:cs="Segoe UI"/>
            <w:u w:val="none"/>
            <w:shd w:val="clear" w:color="auto" w:fill="FFFFFF"/>
          </w:rPr>
          <w:t>-0059</w:t>
        </w:r>
      </w:hyperlink>
      <w:r w:rsidRPr="00BD5EAA">
        <w:rPr>
          <w:rFonts w:asciiTheme="minorHAnsi" w:hAnsiTheme="minorHAnsi" w:cs="Segoe UI"/>
        </w:rPr>
        <w:t xml:space="preserve"> </w:t>
      </w:r>
    </w:p>
    <w:p w:rsidR="00BD5EAA" w:rsidRPr="00BD5EAA" w:rsidRDefault="00BD5EAA" w:rsidP="00BD5EAA">
      <w:pPr>
        <w:pStyle w:val="BodyText"/>
        <w:ind w:right="117" w:hanging="284"/>
        <w:rPr>
          <w:rFonts w:asciiTheme="minorHAnsi" w:hAnsiTheme="minorHAnsi"/>
        </w:rPr>
      </w:pPr>
      <w:r w:rsidRPr="00BD5EAA">
        <w:rPr>
          <w:rFonts w:asciiTheme="minorHAnsi" w:hAnsiTheme="minorHAnsi" w:cs="Segoe UI"/>
        </w:rPr>
        <w:t xml:space="preserve">Hind K, Slater G, Lees M, </w:t>
      </w:r>
      <w:proofErr w:type="spellStart"/>
      <w:r w:rsidRPr="00BD5EAA">
        <w:rPr>
          <w:rFonts w:asciiTheme="minorHAnsi" w:hAnsiTheme="minorHAnsi" w:cs="Segoe UI"/>
        </w:rPr>
        <w:t>Thurlow</w:t>
      </w:r>
      <w:bookmarkStart w:id="0" w:name="_GoBack"/>
      <w:bookmarkEnd w:id="0"/>
      <w:proofErr w:type="spellEnd"/>
      <w:r w:rsidRPr="00BD5EAA">
        <w:rPr>
          <w:rFonts w:asciiTheme="minorHAnsi" w:hAnsiTheme="minorHAnsi" w:cs="Segoe UI"/>
        </w:rPr>
        <w:t xml:space="preserve"> S, Barlow M, </w:t>
      </w:r>
      <w:proofErr w:type="spellStart"/>
      <w:r w:rsidRPr="00BD5EAA">
        <w:rPr>
          <w:rFonts w:asciiTheme="minorHAnsi" w:hAnsiTheme="minorHAnsi" w:cs="Segoe UI"/>
        </w:rPr>
        <w:t>Oldroyd</w:t>
      </w:r>
      <w:proofErr w:type="spellEnd"/>
      <w:r w:rsidRPr="00BD5EAA">
        <w:rPr>
          <w:rFonts w:asciiTheme="minorHAnsi" w:hAnsiTheme="minorHAnsi" w:cs="Segoe UI"/>
        </w:rPr>
        <w:t xml:space="preserve"> B, Shepherd J. (2018) Interpretation of </w:t>
      </w:r>
      <w:proofErr w:type="spellStart"/>
      <w:r w:rsidRPr="00BD5EAA">
        <w:rPr>
          <w:rFonts w:asciiTheme="minorHAnsi" w:hAnsiTheme="minorHAnsi" w:cs="Segoe UI"/>
        </w:rPr>
        <w:t>DXA</w:t>
      </w:r>
      <w:proofErr w:type="spellEnd"/>
      <w:r w:rsidRPr="00BD5EAA">
        <w:rPr>
          <w:rFonts w:asciiTheme="minorHAnsi" w:hAnsiTheme="minorHAnsi" w:cs="Segoe UI"/>
        </w:rPr>
        <w:t xml:space="preserve">-derived body composition </w:t>
      </w:r>
      <w:r>
        <w:rPr>
          <w:rFonts w:asciiTheme="minorHAnsi" w:hAnsiTheme="minorHAnsi" w:cs="Segoe UI"/>
        </w:rPr>
        <w:tab/>
      </w:r>
      <w:r w:rsidRPr="00BD5EAA">
        <w:rPr>
          <w:rFonts w:asciiTheme="minorHAnsi" w:hAnsiTheme="minorHAnsi" w:cs="Segoe UI"/>
        </w:rPr>
        <w:t xml:space="preserve">change in athletes : a review and recommendations for best practice. Journal of Clinical Densitometry </w:t>
      </w:r>
      <w:hyperlink r:id="rId10" w:history="1">
        <w:proofErr w:type="spellStart"/>
        <w:r w:rsidRPr="00BD5EAA">
          <w:rPr>
            <w:rStyle w:val="Hyperlink"/>
            <w:rFonts w:asciiTheme="minorHAnsi" w:hAnsiTheme="minorHAnsi" w:cs="Segoe UI"/>
            <w:u w:val="none"/>
          </w:rPr>
          <w:t>doi</w:t>
        </w:r>
        <w:proofErr w:type="spellEnd"/>
        <w:r w:rsidRPr="00BD5EAA">
          <w:rPr>
            <w:rStyle w:val="Hyperlink"/>
            <w:rFonts w:asciiTheme="minorHAnsi" w:hAnsiTheme="minorHAnsi" w:cs="Segoe UI"/>
            <w:u w:val="none"/>
          </w:rPr>
          <w:t xml:space="preserve">: </w:t>
        </w:r>
        <w:r>
          <w:rPr>
            <w:rStyle w:val="Hyperlink"/>
            <w:rFonts w:asciiTheme="minorHAnsi" w:hAnsiTheme="minorHAnsi" w:cs="Segoe UI"/>
            <w:u w:val="none"/>
          </w:rPr>
          <w:tab/>
        </w:r>
        <w:r w:rsidRPr="00BD5EAA">
          <w:rPr>
            <w:rStyle w:val="Hyperlink"/>
            <w:rFonts w:asciiTheme="minorHAnsi" w:hAnsiTheme="minorHAnsi" w:cs="Segoe UI"/>
            <w:u w:val="none"/>
          </w:rPr>
          <w:t>10.1016/</w:t>
        </w:r>
        <w:proofErr w:type="spellStart"/>
        <w:r w:rsidRPr="00BD5EAA">
          <w:rPr>
            <w:rStyle w:val="Hyperlink"/>
            <w:rFonts w:asciiTheme="minorHAnsi" w:hAnsiTheme="minorHAnsi" w:cs="Segoe UI"/>
            <w:u w:val="none"/>
          </w:rPr>
          <w:t>j.jocd.2018.01.002</w:t>
        </w:r>
        <w:proofErr w:type="spellEnd"/>
      </w:hyperlink>
    </w:p>
    <w:p w:rsidR="00462E14" w:rsidRPr="00BD5EAA" w:rsidRDefault="000624D8" w:rsidP="00BD5EAA">
      <w:pPr>
        <w:pStyle w:val="BodyText"/>
        <w:ind w:right="250" w:hanging="284"/>
        <w:rPr>
          <w:rFonts w:asciiTheme="minorHAnsi" w:hAnsiTheme="minorHAnsi"/>
        </w:rPr>
      </w:pPr>
      <w:r w:rsidRPr="00BD5EAA">
        <w:rPr>
          <w:rFonts w:asciiTheme="minorHAnsi" w:hAnsiTheme="minorHAnsi"/>
        </w:rPr>
        <w:t>Hind K, Barlow M, O'</w:t>
      </w:r>
      <w:r w:rsidRPr="00BD5EAA">
        <w:rPr>
          <w:rFonts w:asciiTheme="minorHAnsi" w:hAnsiTheme="minorHAnsi"/>
        </w:rPr>
        <w:t xml:space="preserve">Hara J, </w:t>
      </w:r>
      <w:proofErr w:type="spellStart"/>
      <w:r w:rsidRPr="00BD5EAA">
        <w:rPr>
          <w:rFonts w:asciiTheme="minorHAnsi" w:hAnsiTheme="minorHAnsi"/>
        </w:rPr>
        <w:t>Schilders</w:t>
      </w:r>
      <w:proofErr w:type="spellEnd"/>
      <w:r w:rsidRPr="00BD5EAA">
        <w:rPr>
          <w:rFonts w:asciiTheme="minorHAnsi" w:hAnsiTheme="minorHAnsi"/>
        </w:rPr>
        <w:t xml:space="preserve"> E. (2017) Groin pain in professional footballers is associated with lower sub-regional bone </w:t>
      </w:r>
      <w:r w:rsidR="00BD5EAA">
        <w:rPr>
          <w:rFonts w:asciiTheme="minorHAnsi" w:hAnsiTheme="minorHAnsi"/>
        </w:rPr>
        <w:tab/>
      </w:r>
      <w:r w:rsidRPr="00BD5EAA">
        <w:rPr>
          <w:rFonts w:asciiTheme="minorHAnsi" w:hAnsiTheme="minorHAnsi"/>
        </w:rPr>
        <w:t xml:space="preserve">density of the </w:t>
      </w:r>
      <w:proofErr w:type="spellStart"/>
      <w:r w:rsidRPr="00BD5EAA">
        <w:rPr>
          <w:rFonts w:asciiTheme="minorHAnsi" w:hAnsiTheme="minorHAnsi"/>
        </w:rPr>
        <w:t>symphysis</w:t>
      </w:r>
      <w:proofErr w:type="spellEnd"/>
      <w:r w:rsidRPr="00BD5EAA">
        <w:rPr>
          <w:rFonts w:asciiTheme="minorHAnsi" w:hAnsiTheme="minorHAnsi"/>
        </w:rPr>
        <w:t xml:space="preserve"> pubis. FIFA Future of Football Medicine Conference. Barcelona. May.</w:t>
      </w:r>
    </w:p>
    <w:p w:rsidR="00462E14" w:rsidRDefault="000624D8" w:rsidP="00BD5EAA">
      <w:pPr>
        <w:pStyle w:val="BodyText"/>
        <w:ind w:right="255" w:hanging="284"/>
      </w:pPr>
      <w:r w:rsidRPr="00BD5EAA">
        <w:rPr>
          <w:rFonts w:asciiTheme="minorHAnsi" w:hAnsiTheme="minorHAnsi"/>
        </w:rPr>
        <w:t xml:space="preserve">Hind K, Pearce M, </w:t>
      </w:r>
      <w:proofErr w:type="spellStart"/>
      <w:r w:rsidRPr="00BD5EAA">
        <w:rPr>
          <w:rFonts w:asciiTheme="minorHAnsi" w:hAnsiTheme="minorHAnsi"/>
        </w:rPr>
        <w:t>Birrell</w:t>
      </w:r>
      <w:proofErr w:type="spellEnd"/>
      <w:r w:rsidRPr="00BD5EAA">
        <w:rPr>
          <w:rFonts w:asciiTheme="minorHAnsi" w:hAnsiTheme="minorHAnsi"/>
        </w:rPr>
        <w:t xml:space="preserve"> F. (2017) Total and </w:t>
      </w:r>
      <w:r>
        <w:t>viscera</w:t>
      </w:r>
      <w:r>
        <w:t xml:space="preserve">l adiposity is associated with prevalent vertebral fracture in women, but not </w:t>
      </w:r>
      <w:r w:rsidR="00BD5EAA">
        <w:tab/>
      </w:r>
      <w:r>
        <w:t>in men aged 62 years. J Bone Miner Res.</w:t>
      </w:r>
    </w:p>
    <w:p w:rsidR="00462E14" w:rsidRDefault="000624D8" w:rsidP="00BD5EAA">
      <w:pPr>
        <w:pStyle w:val="BodyText"/>
        <w:ind w:right="213" w:hanging="284"/>
      </w:pPr>
      <w:r>
        <w:t xml:space="preserve">Jones, A, </w:t>
      </w:r>
      <w:proofErr w:type="spellStart"/>
      <w:r>
        <w:t>Entwistle</w:t>
      </w:r>
      <w:proofErr w:type="spellEnd"/>
      <w:r>
        <w:t xml:space="preserve"> I, Barlow M, </w:t>
      </w:r>
      <w:proofErr w:type="spellStart"/>
      <w:r>
        <w:t>Thurlow</w:t>
      </w:r>
      <w:proofErr w:type="spellEnd"/>
      <w:r>
        <w:t xml:space="preserve"> S, </w:t>
      </w:r>
      <w:proofErr w:type="spellStart"/>
      <w:r>
        <w:t>Varley</w:t>
      </w:r>
      <w:proofErr w:type="spellEnd"/>
      <w:r>
        <w:t xml:space="preserve"> I, Sale C, O'Hara J, </w:t>
      </w:r>
      <w:proofErr w:type="spellStart"/>
      <w:r>
        <w:t>Schilders</w:t>
      </w:r>
      <w:proofErr w:type="spellEnd"/>
      <w:r>
        <w:t xml:space="preserve"> E, Francis P, Hind K. (2017) </w:t>
      </w:r>
      <w:proofErr w:type="spellStart"/>
      <w:r>
        <w:t>DXA</w:t>
      </w:r>
      <w:proofErr w:type="spellEnd"/>
      <w:r>
        <w:t xml:space="preserve"> body composition </w:t>
      </w:r>
      <w:r w:rsidR="00BD5EAA">
        <w:tab/>
      </w:r>
      <w:r>
        <w:t>refere</w:t>
      </w:r>
      <w:r>
        <w:t>nce ranges for male professional football players. FIFA Future of Football Medicine Conference. Barcelona 12-15th</w:t>
      </w:r>
    </w:p>
    <w:p w:rsidR="00462E14" w:rsidRDefault="000624D8" w:rsidP="00BD5EAA">
      <w:pPr>
        <w:pStyle w:val="BodyText"/>
        <w:spacing w:before="1"/>
        <w:ind w:right="778" w:hanging="284"/>
      </w:pPr>
      <w:r>
        <w:t xml:space="preserve">Jones A, Hind K, Wilson H, Johnson M, Francis P. (2017) A </w:t>
      </w:r>
      <w:proofErr w:type="spellStart"/>
      <w:r>
        <w:t>standardised</w:t>
      </w:r>
      <w:proofErr w:type="spellEnd"/>
      <w:r>
        <w:t xml:space="preserve"> protocol for the assessment of lower limb muscle </w:t>
      </w:r>
      <w:r w:rsidR="00BD5EAA">
        <w:tab/>
      </w:r>
      <w:r>
        <w:t>contractile properties</w:t>
      </w:r>
      <w:r>
        <w:t xml:space="preserve"> in football players using </w:t>
      </w:r>
      <w:proofErr w:type="spellStart"/>
      <w:r>
        <w:t>tensiomyography</w:t>
      </w:r>
      <w:proofErr w:type="spellEnd"/>
      <w:r>
        <w:t>. Advan</w:t>
      </w:r>
      <w:r w:rsidR="00BD5EAA">
        <w:t xml:space="preserve">ces in Skeletal Muscle Function </w:t>
      </w:r>
      <w:r w:rsidR="00BD5EAA">
        <w:tab/>
        <w:t>Assessment</w:t>
      </w:r>
    </w:p>
    <w:p w:rsidR="00462E14" w:rsidRDefault="000624D8" w:rsidP="00BD5EAA">
      <w:pPr>
        <w:pStyle w:val="BodyText"/>
        <w:ind w:right="234" w:hanging="284"/>
      </w:pPr>
      <w:r>
        <w:lastRenderedPageBreak/>
        <w:t xml:space="preserve">Hind K, </w:t>
      </w:r>
      <w:proofErr w:type="spellStart"/>
      <w:r>
        <w:t>Bansil</w:t>
      </w:r>
      <w:proofErr w:type="spellEnd"/>
      <w:r>
        <w:t xml:space="preserve"> K, Barlow M, Rutherford Z, Lees M. (2016) Novel bilateral analysis of AP lumbar spine bone density in elite cricket fast bowlers. </w:t>
      </w:r>
      <w:proofErr w:type="spellStart"/>
      <w:r>
        <w:t>ISCD</w:t>
      </w:r>
      <w:proofErr w:type="spellEnd"/>
      <w:r>
        <w:t xml:space="preserve"> 22nd Annual </w:t>
      </w:r>
      <w:r>
        <w:t xml:space="preserve">Meeting. June.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Densitom</w:t>
      </w:r>
      <w:proofErr w:type="spellEnd"/>
      <w:r>
        <w:t>.</w:t>
      </w:r>
    </w:p>
    <w:p w:rsidR="00462E14" w:rsidRDefault="000624D8" w:rsidP="00BD5EAA">
      <w:pPr>
        <w:pStyle w:val="BodyText"/>
        <w:ind w:right="454" w:hanging="284"/>
      </w:pPr>
      <w:r>
        <w:t xml:space="preserve">Lees M, </w:t>
      </w:r>
      <w:proofErr w:type="spellStart"/>
      <w:r>
        <w:t>Bansil</w:t>
      </w:r>
      <w:proofErr w:type="spellEnd"/>
      <w:r>
        <w:t xml:space="preserve"> K, Barlow M, Rutherford Z, Hind K. (2016) Bone density and cross-sectional geometry of the proximal femur in elite cricket fast bowlers and non-athletic controls.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Densitom</w:t>
      </w:r>
      <w:proofErr w:type="spellEnd"/>
    </w:p>
    <w:p w:rsidR="00462E14" w:rsidRDefault="000624D8" w:rsidP="00BD5EAA">
      <w:pPr>
        <w:pStyle w:val="BodyText"/>
        <w:ind w:right="131" w:hanging="284"/>
      </w:pPr>
      <w:r>
        <w:t>Lees M, Jones B, Till K, O’Har</w:t>
      </w:r>
      <w:r>
        <w:t xml:space="preserve">a J, Barlow M, </w:t>
      </w:r>
      <w:proofErr w:type="spellStart"/>
      <w:r>
        <w:t>Brightmore</w:t>
      </w:r>
      <w:proofErr w:type="spellEnd"/>
      <w:r>
        <w:t xml:space="preserve"> A, </w:t>
      </w:r>
      <w:proofErr w:type="spellStart"/>
      <w:r>
        <w:t>Oldroyd</w:t>
      </w:r>
      <w:proofErr w:type="spellEnd"/>
      <w:r>
        <w:t xml:space="preserve"> B, Hind K. (2016) Seasonal changes in 3-C body composition of professional rugby union players: an team and </w:t>
      </w:r>
      <w:proofErr w:type="spellStart"/>
      <w:r>
        <w:t>individualised</w:t>
      </w:r>
      <w:proofErr w:type="spellEnd"/>
      <w:r>
        <w:t xml:space="preserve"> approach.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Densitom</w:t>
      </w:r>
      <w:proofErr w:type="spellEnd"/>
    </w:p>
    <w:p w:rsidR="00462E14" w:rsidRDefault="00462E14" w:rsidP="00BD5EAA">
      <w:pPr>
        <w:pStyle w:val="BodyText"/>
        <w:ind w:right="143" w:hanging="284"/>
      </w:pPr>
      <w:r w:rsidRPr="00462E14">
        <w:pict>
          <v:polyline id="_x0000_s1027" style="position:absolute;left:0;text-align:left;z-index:-3088;mso-position-horizontal-relative:page" points="727.9pt,32.3pt,724.25pt,32.9pt,721.05pt,34.55pt,718.55pt,37.05pt,716.9pt,40.25pt,716.3pt,43.9pt,716.3pt,164.75pt,716.9pt,168.4pt,718.55pt,171.55pt,721.05pt,174.1pt,724.25pt,175.75pt,727.9pt,176.3pt" coordorigin="7163,323" coordsize="232,2880" filled="f" strokecolor="#0070c0" strokeweight="3pt">
            <v:path arrowok="t"/>
            <w10:wrap anchorx="page"/>
          </v:polyline>
        </w:pict>
      </w:r>
      <w:r w:rsidRPr="00462E14">
        <w:pict>
          <v:polyline id="_x0000_s1026" style="position:absolute;left:0;text-align:left;z-index:-3064;mso-position-horizontal-relative:page" points="1093pt,32.3pt,1096.65pt,32.9pt,1099.85pt,34.55pt,1102.35pt,37.05pt,1104pt,40.25pt,1104.6pt,43.9pt,1104.6pt,164.75pt,1104pt,168.4pt,1102.35pt,171.55pt,1099.85pt,174.1pt,1096.65pt,175.75pt,1093pt,176.3pt" coordorigin="10930,323" coordsize="232,2880" filled="f" strokecolor="#0070c0" strokeweight="3pt">
            <v:path arrowok="t"/>
            <w10:wrap anchorx="page"/>
          </v:polyline>
        </w:pict>
      </w:r>
      <w:r w:rsidR="000624D8">
        <w:t>Jones B, Till K, Barlow M, Lees M, O'Hara J, Hind K (2015) Anthropom</w:t>
      </w:r>
      <w:r w:rsidR="000624D8">
        <w:t>etric and three-compartment body composition differences between Super League and Championship rugby league players:</w:t>
      </w:r>
    </w:p>
    <w:p w:rsidR="00462E14" w:rsidRDefault="000624D8" w:rsidP="00BD5EAA">
      <w:pPr>
        <w:pStyle w:val="BodyText"/>
        <w:ind w:right="4764" w:hanging="284"/>
      </w:pPr>
      <w:r>
        <w:t xml:space="preserve">Considerations for the 2015 season and beyond. </w:t>
      </w:r>
      <w:proofErr w:type="spellStart"/>
      <w:r>
        <w:t>PLOS</w:t>
      </w:r>
      <w:proofErr w:type="spellEnd"/>
      <w:r>
        <w:t xml:space="preserve"> One. July </w:t>
      </w:r>
      <w:proofErr w:type="spellStart"/>
      <w:r>
        <w:t>doi</w:t>
      </w:r>
      <w:proofErr w:type="spellEnd"/>
      <w:r>
        <w:t>: 10.1371/</w:t>
      </w:r>
      <w:proofErr w:type="spellStart"/>
      <w:r>
        <w:t>journal.pone.0133188</w:t>
      </w:r>
      <w:proofErr w:type="spellEnd"/>
      <w:r>
        <w:t>.</w:t>
      </w:r>
    </w:p>
    <w:p w:rsidR="00462E14" w:rsidRDefault="00462E14" w:rsidP="00BD5EAA">
      <w:pPr>
        <w:ind w:left="443" w:hanging="284"/>
        <w:sectPr w:rsidR="00462E14">
          <w:headerReference w:type="default" r:id="rId11"/>
          <w:footerReference w:type="default" r:id="rId12"/>
          <w:type w:val="continuous"/>
          <w:pgSz w:w="11910" w:h="16840"/>
          <w:pgMar w:top="1140" w:right="600" w:bottom="1240" w:left="560" w:header="876" w:footer="1055" w:gutter="0"/>
          <w:pgNumType w:start="1"/>
          <w:cols w:space="720"/>
        </w:sectPr>
      </w:pPr>
    </w:p>
    <w:p w:rsidR="00462E14" w:rsidRDefault="000624D8" w:rsidP="00BD5EAA">
      <w:pPr>
        <w:pStyle w:val="BodyText"/>
        <w:ind w:right="21" w:hanging="284"/>
      </w:pPr>
      <w:r>
        <w:lastRenderedPageBreak/>
        <w:t xml:space="preserve">Till K, Jones B, O’Hara J, Lees M, </w:t>
      </w:r>
      <w:proofErr w:type="spellStart"/>
      <w:r>
        <w:t>Brightmore</w:t>
      </w:r>
      <w:proofErr w:type="spellEnd"/>
      <w:r>
        <w:t xml:space="preserve"> A, Barlow M, Hind K. (2015) Comparison of three-compartment body composition in academy and senior professional rugby league players. International Journal of Sports Physiology and Performance</w:t>
      </w:r>
    </w:p>
    <w:p w:rsidR="00462E14" w:rsidRDefault="000624D8" w:rsidP="00BD5EAA">
      <w:pPr>
        <w:pStyle w:val="BodyText"/>
        <w:spacing w:before="1"/>
        <w:ind w:right="21" w:hanging="284"/>
      </w:pPr>
      <w:r>
        <w:t xml:space="preserve">Barlow M, </w:t>
      </w:r>
      <w:proofErr w:type="spellStart"/>
      <w:r>
        <w:t>Oldroyd</w:t>
      </w:r>
      <w:proofErr w:type="spellEnd"/>
      <w:r>
        <w:t xml:space="preserve"> B, Till K, Jones B, O’Hara J, Lees M, Hind K. (2015) Precision of the GE Lunar </w:t>
      </w:r>
      <w:proofErr w:type="spellStart"/>
      <w:r>
        <w:t>iDXA</w:t>
      </w:r>
      <w:proofErr w:type="spellEnd"/>
      <w:r>
        <w:t xml:space="preserve"> for the assessment of 3-C total body composition in professional male rugby players.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Densitom</w:t>
      </w:r>
      <w:proofErr w:type="spellEnd"/>
    </w:p>
    <w:p w:rsidR="00A77AB8" w:rsidRDefault="000624D8" w:rsidP="00A77AB8">
      <w:pPr>
        <w:pStyle w:val="BodyText"/>
        <w:spacing w:before="49"/>
        <w:ind w:right="516" w:hanging="284"/>
      </w:pPr>
      <w:r>
        <w:t xml:space="preserve">Jones B, </w:t>
      </w:r>
      <w:proofErr w:type="spellStart"/>
      <w:r>
        <w:t>Emmonds</w:t>
      </w:r>
      <w:proofErr w:type="spellEnd"/>
      <w:r>
        <w:t xml:space="preserve"> S, Hind K, Nicholson G, Rutherford Z, Till K. (2015) </w:t>
      </w:r>
      <w:r>
        <w:t xml:space="preserve">Physical Qualities of International Female Rugby League Players by Playing Position and Injury History. J Strength </w:t>
      </w:r>
      <w:proofErr w:type="spellStart"/>
      <w:r>
        <w:t>Cond</w:t>
      </w:r>
      <w:proofErr w:type="spellEnd"/>
      <w:r>
        <w:t xml:space="preserve"> Res 30:5.</w:t>
      </w:r>
    </w:p>
    <w:p w:rsidR="00A77AB8" w:rsidRDefault="00A77AB8" w:rsidP="00A77AB8">
      <w:pPr>
        <w:pStyle w:val="BodyText"/>
        <w:spacing w:before="49"/>
        <w:ind w:right="516" w:hanging="284"/>
      </w:pPr>
      <w:r>
        <w:t xml:space="preserve">Lees M, </w:t>
      </w:r>
      <w:proofErr w:type="spellStart"/>
      <w:r>
        <w:t>Bansil</w:t>
      </w:r>
      <w:proofErr w:type="spellEnd"/>
      <w:r>
        <w:t xml:space="preserve"> K, Hind K. (2015) Total, regional and unilateral body composition of professional English first-class cricket fast bowlers. J Sports </w:t>
      </w:r>
      <w:proofErr w:type="spellStart"/>
      <w:r>
        <w:t>Sci</w:t>
      </w:r>
      <w:proofErr w:type="spellEnd"/>
    </w:p>
    <w:p w:rsidR="00A77AB8" w:rsidRDefault="00A77AB8" w:rsidP="00A77AB8">
      <w:pPr>
        <w:pStyle w:val="BodyText"/>
        <w:ind w:right="325" w:hanging="284"/>
      </w:pPr>
      <w:r>
        <w:t xml:space="preserve">Hind K, Gannon L, </w:t>
      </w:r>
      <w:proofErr w:type="spellStart"/>
      <w:r>
        <w:t>Brightmore</w:t>
      </w:r>
      <w:proofErr w:type="spellEnd"/>
      <w:r>
        <w:t xml:space="preserve"> A, Beck B (2015) Insights into relationships between body mass and bone: findings in elite rugby players.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Densitom</w:t>
      </w:r>
      <w:proofErr w:type="spellEnd"/>
      <w:r>
        <w:t xml:space="preserve"> Feb 5th </w:t>
      </w:r>
      <w:proofErr w:type="spellStart"/>
      <w:r>
        <w:t>dx.doi.org</w:t>
      </w:r>
      <w:proofErr w:type="spellEnd"/>
      <w:r>
        <w:t>/10.15/</w:t>
      </w:r>
      <w:proofErr w:type="spellStart"/>
      <w:r>
        <w:t>j.jocd.2014.11.002</w:t>
      </w:r>
      <w:proofErr w:type="spellEnd"/>
      <w:r>
        <w:t>.</w:t>
      </w:r>
    </w:p>
    <w:p w:rsidR="00462E14" w:rsidRDefault="00462E14" w:rsidP="00BD5EAA">
      <w:pPr>
        <w:pStyle w:val="BodyText"/>
        <w:ind w:right="449" w:hanging="284"/>
      </w:pPr>
    </w:p>
    <w:p w:rsidR="00462E14" w:rsidRDefault="000624D8">
      <w:pPr>
        <w:spacing w:line="242" w:lineRule="exact"/>
        <w:ind w:left="160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Dr Karen Hind. PhD, Cert </w:t>
      </w:r>
      <w:proofErr w:type="spellStart"/>
      <w:r>
        <w:rPr>
          <w:b/>
          <w:sz w:val="20"/>
        </w:rPr>
        <w:t>Clin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Densit</w:t>
      </w:r>
      <w:proofErr w:type="spellEnd"/>
      <w:r>
        <w:rPr>
          <w:b/>
          <w:sz w:val="20"/>
        </w:rPr>
        <w:t xml:space="preserve"> (</w:t>
      </w:r>
      <w:proofErr w:type="spellStart"/>
      <w:r>
        <w:rPr>
          <w:b/>
          <w:sz w:val="20"/>
        </w:rPr>
        <w:t>ISCD</w:t>
      </w:r>
      <w:proofErr w:type="spellEnd"/>
      <w:r>
        <w:rPr>
          <w:b/>
          <w:sz w:val="20"/>
        </w:rPr>
        <w:t>).</w:t>
      </w:r>
    </w:p>
    <w:p w:rsidR="00462E14" w:rsidRDefault="00E36175">
      <w:pPr>
        <w:pStyle w:val="BodyText"/>
        <w:spacing w:line="243" w:lineRule="exact"/>
        <w:ind w:left="160"/>
      </w:pPr>
      <w:r>
        <w:t>Assistant Professor</w:t>
      </w:r>
    </w:p>
    <w:p w:rsidR="00462E14" w:rsidRDefault="00E36175">
      <w:pPr>
        <w:pStyle w:val="BodyText"/>
        <w:ind w:left="160" w:right="764"/>
      </w:pPr>
      <w:r>
        <w:t xml:space="preserve">Department of Sport and Exercise Sciences </w:t>
      </w:r>
    </w:p>
    <w:p w:rsidR="00462E14" w:rsidRDefault="00E36175">
      <w:pPr>
        <w:pStyle w:val="BodyText"/>
        <w:ind w:left="160" w:right="1565"/>
      </w:pPr>
      <w:r>
        <w:t>DURHAM UNIVERSITY</w:t>
      </w:r>
    </w:p>
    <w:p w:rsidR="00E36175" w:rsidRDefault="00E36175">
      <w:pPr>
        <w:pStyle w:val="BodyText"/>
        <w:spacing w:before="1"/>
        <w:ind w:left="160" w:right="1311"/>
      </w:pPr>
      <w:r>
        <w:t xml:space="preserve">42 Old </w:t>
      </w:r>
      <w:proofErr w:type="spellStart"/>
      <w:r>
        <w:t>Elvet</w:t>
      </w:r>
      <w:proofErr w:type="spellEnd"/>
      <w:r>
        <w:t>, Durham,</w:t>
      </w:r>
    </w:p>
    <w:p w:rsidR="00462E14" w:rsidRDefault="00E36175">
      <w:pPr>
        <w:pStyle w:val="BodyText"/>
        <w:spacing w:before="1"/>
        <w:ind w:left="160" w:right="1311"/>
      </w:pPr>
      <w:proofErr w:type="spellStart"/>
      <w:r>
        <w:t>DH1</w:t>
      </w:r>
      <w:proofErr w:type="spellEnd"/>
      <w:r>
        <w:t xml:space="preserve"> </w:t>
      </w:r>
      <w:proofErr w:type="spellStart"/>
      <w:r>
        <w:t>3HN</w:t>
      </w:r>
      <w:proofErr w:type="spellEnd"/>
      <w:r w:rsidR="000624D8">
        <w:t>, UK.</w:t>
      </w:r>
    </w:p>
    <w:p w:rsidR="00462E14" w:rsidRDefault="00462E14">
      <w:pPr>
        <w:sectPr w:rsidR="00462E14">
          <w:type w:val="continuous"/>
          <w:pgSz w:w="11910" w:h="16840"/>
          <w:pgMar w:top="1140" w:right="600" w:bottom="1240" w:left="560" w:header="720" w:footer="720" w:gutter="0"/>
          <w:cols w:num="2" w:space="720" w:equalWidth="0">
            <w:col w:w="6318" w:space="289"/>
            <w:col w:w="4143"/>
          </w:cols>
        </w:sectPr>
      </w:pPr>
    </w:p>
    <w:p w:rsidR="00A77AB8" w:rsidRDefault="00A77AB8">
      <w:pPr>
        <w:pStyle w:val="BodyText"/>
        <w:spacing w:before="1"/>
      </w:pPr>
    </w:p>
    <w:sectPr w:rsidR="00A77AB8" w:rsidSect="00462E14">
      <w:pgSz w:w="11910" w:h="16840"/>
      <w:pgMar w:top="1140" w:right="600" w:bottom="1240" w:left="560" w:header="876" w:footer="10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4D8" w:rsidRDefault="000624D8" w:rsidP="00462E14">
      <w:r>
        <w:separator/>
      </w:r>
    </w:p>
  </w:endnote>
  <w:endnote w:type="continuationSeparator" w:id="0">
    <w:p w:rsidR="000624D8" w:rsidRDefault="000624D8" w:rsidP="0046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14" w:rsidRDefault="00462E14">
    <w:pPr>
      <w:pStyle w:val="BodyText"/>
      <w:spacing w:line="14" w:lineRule="auto"/>
      <w:ind w:left="0"/>
    </w:pPr>
    <w:r w:rsidRPr="00462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3pt;margin-top:778.15pt;width:10pt;height:15.3pt;z-index:-3136;mso-position-horizontal-relative:page;mso-position-vertical-relative:page" filled="f" stroked="f">
          <v:textbox inset="0,0,0,0">
            <w:txbxContent>
              <w:p w:rsidR="00462E14" w:rsidRDefault="00462E14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0624D8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77AB8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4D8" w:rsidRDefault="000624D8" w:rsidP="00462E14">
      <w:r>
        <w:separator/>
      </w:r>
    </w:p>
  </w:footnote>
  <w:footnote w:type="continuationSeparator" w:id="0">
    <w:p w:rsidR="000624D8" w:rsidRDefault="000624D8" w:rsidP="00462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14" w:rsidRDefault="00462E14">
    <w:pPr>
      <w:pStyle w:val="BodyText"/>
      <w:spacing w:line="14" w:lineRule="auto"/>
      <w:ind w:left="0"/>
    </w:pPr>
    <w:r w:rsidRPr="00462E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42.8pt;width:525.3pt;height:14pt;z-index:-3160;mso-position-horizontal-relative:page;mso-position-vertical-relative:page" filled="f" stroked="f">
          <v:textbox inset="0,0,0,0">
            <w:txbxContent>
              <w:p w:rsidR="00462E14" w:rsidRDefault="000624D8">
                <w:pPr>
                  <w:tabs>
                    <w:tab w:val="left" w:pos="3019"/>
                    <w:tab w:val="left" w:pos="10485"/>
                  </w:tabs>
                  <w:spacing w:line="264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FFFFFF"/>
                    <w:sz w:val="24"/>
                    <w:shd w:val="clear" w:color="auto" w:fill="5B9BD5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  <w:shd w:val="clear" w:color="auto" w:fill="5B9BD5"/>
                  </w:rPr>
                  <w:tab/>
                  <w:t>RUGBY CODES RESEARCH GROUP –</w:t>
                </w:r>
                <w:r>
                  <w:rPr>
                    <w:b/>
                    <w:color w:val="FFFFFF"/>
                    <w:spacing w:val="-13"/>
                    <w:sz w:val="24"/>
                    <w:shd w:val="clear" w:color="auto" w:fill="5B9BD5"/>
                  </w:rPr>
                  <w:t xml:space="preserve"> </w:t>
                </w:r>
                <w:r>
                  <w:rPr>
                    <w:b/>
                    <w:color w:val="FFFFFF"/>
                    <w:sz w:val="24"/>
                    <w:shd w:val="clear" w:color="auto" w:fill="5B9BD5"/>
                  </w:rPr>
                  <w:t>MEMBER</w:t>
                </w:r>
                <w:r>
                  <w:rPr>
                    <w:b/>
                    <w:color w:val="FFFFFF"/>
                    <w:sz w:val="24"/>
                    <w:shd w:val="clear" w:color="auto" w:fill="5B9BD5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1756A"/>
    <w:multiLevelType w:val="hybridMultilevel"/>
    <w:tmpl w:val="7AA80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62E14"/>
    <w:rsid w:val="000624D8"/>
    <w:rsid w:val="00462E14"/>
    <w:rsid w:val="00A77AB8"/>
    <w:rsid w:val="00BB7812"/>
    <w:rsid w:val="00BD5EAA"/>
    <w:rsid w:val="00E3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2E1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2E14"/>
    <w:pPr>
      <w:ind w:left="44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62E14"/>
  </w:style>
  <w:style w:type="paragraph" w:customStyle="1" w:styleId="TableParagraph">
    <w:name w:val="Table Paragraph"/>
    <w:basedOn w:val="Normal"/>
    <w:uiPriority w:val="1"/>
    <w:qFormat/>
    <w:rsid w:val="00462E14"/>
  </w:style>
  <w:style w:type="paragraph" w:styleId="NoSpacing">
    <w:name w:val="No Spacing"/>
    <w:uiPriority w:val="1"/>
    <w:qFormat/>
    <w:rsid w:val="00BD5EAA"/>
    <w:pPr>
      <w:widowControl/>
      <w:autoSpaceDE/>
      <w:autoSpaceDN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D5E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36/bmjsem-2018-00042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doi.org/10.1016/j.jocd.2018.01.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23/ijsnem.2018-00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6A868263D14182E3B99603F681CC" ma:contentTypeVersion="10" ma:contentTypeDescription="Create a new document." ma:contentTypeScope="" ma:versionID="03992e7f59f2ede8993b0c8dcc66e475">
  <xsd:schema xmlns:xsd="http://www.w3.org/2001/XMLSchema" xmlns:xs="http://www.w3.org/2001/XMLSchema" xmlns:p="http://schemas.microsoft.com/office/2006/metadata/properties" xmlns:ns2="4801ba7a-85d0-49de-9303-1210690099f3" targetNamespace="http://schemas.microsoft.com/office/2006/metadata/properties" ma:root="true" ma:fieldsID="ee66cb76ce9b14b6315573ad5afae034" ns2:_="">
    <xsd:import namespace="4801ba7a-85d0-49de-9303-121069009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ba7a-85d0-49de-9303-121069009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4CCF8-5884-4840-A1EA-F4DD88930F8F}"/>
</file>

<file path=customXml/itemProps2.xml><?xml version="1.0" encoding="utf-8"?>
<ds:datastoreItem xmlns:ds="http://schemas.openxmlformats.org/officeDocument/2006/customXml" ds:itemID="{378B7A21-E99B-478F-9DA9-0E3CC415BA9C}"/>
</file>

<file path=customXml/itemProps3.xml><?xml version="1.0" encoding="utf-8"?>
<ds:datastoreItem xmlns:ds="http://schemas.openxmlformats.org/officeDocument/2006/customXml" ds:itemID="{E74AAFE6-70D6-4EF5-BB22-7A9848E11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Karen Hind</vt:lpstr>
    </vt:vector>
  </TitlesOfParts>
  <Company>Hewlett-Packard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Karen Hind</dc:title>
  <dc:creator>Dr Karen Hind</dc:creator>
  <cp:lastModifiedBy>Karen</cp:lastModifiedBy>
  <cp:revision>2</cp:revision>
  <dcterms:created xsi:type="dcterms:W3CDTF">2019-03-28T15:28:00Z</dcterms:created>
  <dcterms:modified xsi:type="dcterms:W3CDTF">2019-03-28T15:28:00Z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2019-03-27T00:00:00Z</vt:filetime>
  </property>
  <property fmtid="{D5CDD505-2E9C-101B-9397-08002B2CF9AE}" pid="5" name="ContentTypeId">
    <vt:lpwstr>0x01010080F66A868263D14182E3B99603F681CC</vt:lpwstr>
  </property>
</Properties>
</file>