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XSpec="center" w:tblpY="46"/>
        <w:tblW w:w="11902" w:type="dxa"/>
        <w:tblLook w:val="04A0" w:firstRow="1" w:lastRow="0" w:firstColumn="1" w:lastColumn="0" w:noHBand="0" w:noVBand="1"/>
      </w:tblPr>
      <w:tblGrid>
        <w:gridCol w:w="11902"/>
      </w:tblGrid>
      <w:tr w:rsidRPr="00A403AB" w:rsidR="00A403AB" w:rsidTr="7C28C02B" w14:paraId="569C9640" w14:textId="77777777">
        <w:trPr>
          <w:trHeight w:val="2400"/>
        </w:trPr>
        <w:tc>
          <w:tcPr>
            <w:tcW w:w="119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403AB" w:rsidR="00A403AB" w:rsidP="00A403AB" w:rsidRDefault="00A403AB" w14:paraId="2FA48C06" w14:textId="77777777">
            <w:pPr>
              <w:rPr>
                <w:rFonts w:ascii="Arial" w:hAnsi="Arial" w:cs="Arial"/>
              </w:rPr>
            </w:pPr>
            <w:r w:rsidRPr="00A403AB">
              <w:rPr>
                <w:rFonts w:ascii="Arial" w:hAnsi="Arial" w:cs="Arial"/>
                <w:noProof/>
                <w:lang w:eastAsia="en-NZ"/>
              </w:rPr>
              <w:drawing>
                <wp:anchor distT="0" distB="0" distL="114300" distR="114300" simplePos="0" relativeHeight="251661312" behindDoc="1" locked="0" layoutInCell="1" allowOverlap="1" wp14:anchorId="0228F931" wp14:editId="78EC7CE7">
                  <wp:simplePos x="0" y="0"/>
                  <wp:positionH relativeFrom="page">
                    <wp:posOffset>-51435</wp:posOffset>
                  </wp:positionH>
                  <wp:positionV relativeFrom="paragraph">
                    <wp:posOffset>28575</wp:posOffset>
                  </wp:positionV>
                  <wp:extent cx="7579995" cy="1275715"/>
                  <wp:effectExtent l="0" t="0" r="1905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der-teal-padding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99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A403AB" w:rsidR="00A403AB" w:rsidTr="7C28C02B" w14:paraId="4744BC95" w14:textId="77777777">
        <w:trPr>
          <w:trHeight w:val="4253"/>
        </w:trPr>
        <w:tc>
          <w:tcPr>
            <w:tcW w:w="11902" w:type="dxa"/>
            <w:tcBorders>
              <w:top w:val="nil"/>
              <w:left w:val="nil"/>
              <w:bottom w:val="nil"/>
              <w:right w:val="nil"/>
            </w:tcBorders>
            <w:tcMar/>
          </w:tcPr>
          <w:tbl>
            <w:tblPr>
              <w:tblStyle w:val="TableGrid"/>
              <w:tblW w:w="0" w:type="auto"/>
              <w:tblInd w:w="869" w:type="dxa"/>
              <w:tblLook w:val="04A0" w:firstRow="1" w:lastRow="0" w:firstColumn="1" w:lastColumn="0" w:noHBand="0" w:noVBand="1"/>
            </w:tblPr>
            <w:tblGrid>
              <w:gridCol w:w="9714"/>
            </w:tblGrid>
            <w:tr w:rsidRPr="00A403AB" w:rsidR="00A403AB" w:rsidTr="7C28C02B" w14:paraId="1D1BB03C" w14:textId="77777777">
              <w:trPr>
                <w:trHeight w:val="504"/>
              </w:trPr>
              <w:tc>
                <w:tcPr>
                  <w:tcW w:w="93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="0024584E" w:rsidP="0024584E" w:rsidRDefault="0024584E" w14:paraId="503CE772" w14:textId="77777777">
                  <w:pPr>
                    <w:framePr w:hSpace="180" w:wrap="around" w:hAnchor="margin" w:vAnchor="page" w:xAlign="center" w:y="46"/>
                    <w:rPr>
                      <w:b/>
                      <w:color w:val="339FAD"/>
                      <w:sz w:val="32"/>
                    </w:rPr>
                  </w:pPr>
                  <w:r w:rsidRPr="15BA2223">
                    <w:rPr>
                      <w:b/>
                      <w:bCs/>
                      <w:color w:val="339FAD"/>
                      <w:sz w:val="32"/>
                      <w:szCs w:val="32"/>
                    </w:rPr>
                    <w:t>MEDIA RELEASE</w:t>
                  </w:r>
                </w:p>
                <w:p w:rsidRPr="00507BA2" w:rsidR="0024584E" w:rsidP="15BA2223" w:rsidRDefault="683B3E56" w14:paraId="4B87E438" w14:textId="7A7B83E1">
                  <w:pPr>
                    <w:spacing w:line="259" w:lineRule="auto"/>
                    <w:rPr>
                      <w:color w:val="536972"/>
                    </w:rPr>
                  </w:pPr>
                  <w:r w:rsidRPr="7C28C02B" w:rsidR="10B7A554">
                    <w:rPr>
                      <w:b w:val="1"/>
                      <w:bCs w:val="1"/>
                    </w:rPr>
                    <w:t>Hindi</w:t>
                  </w:r>
                  <w:r>
                    <w:br/>
                  </w:r>
                </w:p>
                <w:tbl>
                  <w:tblPr>
                    <w:tblW w:w="9498" w:type="dxa"/>
                    <w:tblBorders>
                      <w:top w:val="single" w:color="339FAD" w:sz="4" w:space="0"/>
                    </w:tblBorders>
                    <w:tblLook w:val="0000" w:firstRow="0" w:lastRow="0" w:firstColumn="0" w:lastColumn="0" w:noHBand="0" w:noVBand="0"/>
                  </w:tblPr>
                  <w:tblGrid>
                    <w:gridCol w:w="9498"/>
                  </w:tblGrid>
                  <w:tr w:rsidRPr="00FC5AEA" w:rsidR="0024584E" w:rsidTr="27191465" w14:paraId="55B4EA5E" w14:textId="77777777">
                    <w:trPr>
                      <w:trHeight w:val="151"/>
                    </w:trPr>
                    <w:tc>
                      <w:tcPr>
                        <w:tcW w:w="9498" w:type="dxa"/>
                        <w:tcMar/>
                      </w:tcPr>
                      <w:p w:rsidRPr="00507BA2" w:rsidR="0024584E" w:rsidP="0024584E" w:rsidRDefault="0024584E" w14:paraId="374B1016" w14:textId="77777777">
                        <w:pPr>
                          <w:framePr w:hSpace="180" w:wrap="around" w:hAnchor="margin" w:vAnchor="page" w:xAlign="center" w:y="46"/>
                          <w:rPr>
                            <w:rFonts w:ascii="Calibri" w:hAnsi="Calibri" w:cs="Tahoma"/>
                            <w:b/>
                            <w:color w:val="536972"/>
                          </w:rPr>
                        </w:pPr>
                        <w:r w:rsidRPr="00880178">
                          <w:rPr>
                            <w:rFonts w:ascii="Calibri" w:hAnsi="Calibri" w:cs="Tahoma"/>
                            <w:b/>
                            <w:color w:val="536972"/>
                          </w:rPr>
                          <w:t xml:space="preserve"> </w:t>
                        </w:r>
                      </w:p>
                    </w:tc>
                  </w:tr>
                </w:tbl>
                <w:p w:rsidR="010992EC" w:rsidP="27191465" w:rsidRDefault="010992EC" w14:paraId="686A4C9D" w14:textId="4FC1EC85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दौरान शरीर कैसे चलता है</w:t>
                  </w:r>
                  <w:r w:rsidRPr="27191465" w:rsidR="1B907414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इसमें परिवर्तनों को समझना</w:t>
                  </w:r>
                </w:p>
                <w:p w:rsidR="010992EC" w:rsidP="27191465" w:rsidRDefault="010992EC" w14:paraId="0B0399D5" w14:textId="7D758D4C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0"/>
                      <w:szCs w:val="20"/>
                      <w:lang w:val="en-US"/>
                    </w:rPr>
                  </w:pPr>
                </w:p>
                <w:p w:rsidR="010992EC" w:rsidP="27191465" w:rsidRDefault="010992EC" w14:paraId="62FB4DD7" w14:textId="4E47E97D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दौरान आंदोलन और व्यायाम माताओं और शिशुओं के लिए एक सुरक्षित और स्वस्थ परिणाम के लिए बनाता है।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>.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हालांकि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शरीर के आकार को बदलने के कारण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व्यक्तिगत महिलाओं/वहीन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उन्हें व्यायाम के बारे में अनिश्चित बनाने के लिए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के दौरान और गर्भावस्था के बाद गिरने का एक बढ़ा जोखिम का अनुभव कर सकते है।</w:t>
                  </w:r>
                </w:p>
                <w:p w:rsidR="010992EC" w:rsidP="27191465" w:rsidRDefault="010992EC" w14:paraId="0EDFA006" w14:textId="0C705F11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माध्यम से शारीरिक विकास (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TK-PEP) AUT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के नेतृत्व में एक व्यापक अनुसंधान कार्यक्रम में पहली परियोजना है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>,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US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ते कुकुनेटंगा (जीवन का विकासशील चक्र)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जो महिलाओं और वाहानौ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के लिए गर्भावस्था के परिणामों में सुधार के उद्देश्य से इस मुद्दे की जांच करता है।</w:t>
                  </w:r>
                </w:p>
                <w:p w:rsidR="010992EC" w:rsidP="27191465" w:rsidRDefault="010992EC" w14:paraId="6E23932B" w14:textId="206319EE">
                  <w:pPr>
                    <w:bidi w:val="0"/>
                    <w:spacing w:before="0" w:beforeAutospacing="on" w:after="160" w:afterAutospacing="on" w:line="240" w:lineRule="auto"/>
                    <w:ind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TK-PEP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दौरान और बाद में शरीर के आकार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 xml:space="preserve">आकार और महत्वपूर्ण संकेतों में होने वाले परिवर्तनों की अधिक समझ बनाने के लिए 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400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गर्भवती महिलाओं के साथ काम करेगा।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</w:t>
                  </w:r>
                </w:p>
                <w:p w:rsidR="010992EC" w:rsidP="27191465" w:rsidRDefault="010992EC" w14:paraId="7715C53E" w14:textId="3A458502">
                  <w:pPr>
                    <w:bidi w:val="0"/>
                    <w:spacing w:before="0" w:beforeAutospacing="on" w:after="160" w:afterAutospacing="on" w:line="240" w:lineRule="auto"/>
                    <w:ind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</w:p>
                <w:p w:rsidR="010992EC" w:rsidP="27191465" w:rsidRDefault="010992EC" w14:paraId="0201A498" w14:textId="7B96849D">
                  <w:pPr>
                    <w:bidi w:val="0"/>
                    <w:spacing w:before="0" w:beforeAutospacing="on" w:after="160" w:afterAutospacing="on" w:line="240" w:lineRule="auto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>"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एक महिलाओं के शरीर गर्भावस्था के दौरान और जन्म के बाद छह महीनों में आकार और आकार में अद्वितीय प्रगतिशील परिवर्तन से गुजरता है ।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हालांकि यह आम तौर पर स्वीकार किया जाता है कि शारीरिक परिवर्तन इस समय भर में अनुभवी जिस तरह से महिलाओं को चलने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संतुलन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व्यायाम और दैनिक कार्यों को पूरा करने को प्रभावित करते हैं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हम कैसे इन परिवर्तनों को समय भर में विकसित में सीमित अंतर्दृष्टि है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और कैसे वे महिलाओं के बीच अलग है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"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कहते हैं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टीके-पीईपी रिसर्च लीडर प्रोफेसर पैट्रिया ह्यूम ।</w:t>
                  </w:r>
                </w:p>
                <w:p w:rsidR="010992EC" w:rsidP="27191465" w:rsidRDefault="010992EC" w14:paraId="634CEF49" w14:textId="4C86F963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>"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हमें आशा है कि के रूप में महिलाओं को कैसे अपने शरीर को बदलने के बारे में अधिक जानने के लिए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वे कैसे कदम और उनके संतुलन है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जो बेहतर स्वास्थ्य देखभाल परिणामों के लिए नेतृत्व करेंगे: दोनों शारीरिक और मानसिक में विश्वास हासिल होगा."</w:t>
                  </w:r>
                </w:p>
                <w:p w:rsidR="010992EC" w:rsidP="27191465" w:rsidRDefault="010992EC" w14:paraId="5AA4FDF5" w14:textId="0121E628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शोधकर्ताओं को उम्मीद है कि शारीरिक बदलावों की अधिक समझ अंततः जन्म के समय चिकित्सा हस्तक्षेप की आवश्यकता को कम कर सकती है ।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न्यूजीलैंड की लगभग एक तिहाई महिलाओं को एक बच्चा होने के लिए एक सीजेरियन सेक्शन या वाद्य जन्म (संदंश/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>ventouse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)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से गुजरना पड़ता है ।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 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2018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में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 xml:space="preserve">स्वास्थ्य मातृत्व मंत्रालय की एक रिपोर्ट से पता चला है कि 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36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प्रतिशत महिलाओं के पास सीजेरियन सेक्शन डिलीवरी हुई थी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जो पंद्रह प्रतिशत की डब्ल्यूएचओ की सिफारिश से दोगुनी है।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टीके-पीईपी मिडवाइफरी टीम के नेता प्रोफेसर जूडिथ मैकरा-कूपर कहते हैं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हम इस प्रवृत्ति को बदलने के तरीके खोजने की उम्मीद करते हैं ताकि अधिक महिलाओं को योनि जन्म मिल सके ।</w:t>
                  </w:r>
                </w:p>
                <w:p w:rsidR="010992EC" w:rsidP="27191465" w:rsidRDefault="010992EC" w14:paraId="4642A00B" w14:textId="457CCE04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 xml:space="preserve">अनुसंधान 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AUT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सहस्राब्दी में मासिक जगह ले जाएगा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हृदय गति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रक्तचाप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तापमान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श्वसन दर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ऑक्सीजन संतृप्ति और शरीर के आकार और आंदोलन में परिवर्तन के लिए जांच के साथ ।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 xml:space="preserve">बदलते शरीर द्रव्यमान एक </w:t>
                  </w:r>
                  <w:r w:rsidRPr="27191465" w:rsidR="1B907414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3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डी पूरे शरीर इमेजिंग स्कैनर में कब्जा कर लिया जाएगा और गति पर कब्जा प्रौद्योगिकी चलने और संतुलन का आकलन करने के लिए इस्तेमाल किया जाएगा ।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एक अध्ययन में आंदोलन चिकित्सा के आधार पर मुफ्त जन्म तैयारी कार्यशालाएं शामिल हैं।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इन कार्यशालाओं का उद्देश्य गर्भवती माताओं को उनके श्रम और जन्म के लिए शारीरिक और भावनात्मक रूप से मदद करना है ।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प्रतिभागियों को पोषण विश्लेषण भी प्राप्त होगा और एक ते कुकुनेटांगा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व्हानौ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कमरे तक पहुंच है ।</w:t>
                  </w:r>
                </w:p>
                <w:p w:rsidR="010992EC" w:rsidP="27191465" w:rsidRDefault="010992EC" w14:paraId="3502E162" w14:textId="36999911">
                  <w:p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Courier New" w:hAnsi="Courier New" w:eastAsia="Courier New" w:cs="Courier New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>"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यह एक के लिए अनुसूचित नियुक्तियों के बीच स्वास्थ्य पेशेवरों की एक श्रृंखला के साथ कनेक्ट करने और इस तरह के पोषण</w:t>
                  </w:r>
                  <w:r w:rsidRPr="27191465" w:rsidR="1B907414">
                    <w:rPr>
                      <w:rFonts w:ascii="Courier New" w:hAnsi="Courier New" w:eastAsia="Courier New" w:cs="Courier New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व्यायाम और शारीरिक गतिविधि के रूप में विषयों पर विशेषज्ञों की एक किस्म से प्रतिभागी केवल भलाई सेमिनार में भाग लेने का अवसर है"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प्रोफेसर ह्यूम कहते हैं।</w:t>
                  </w:r>
                </w:p>
                <w:p w:rsidR="010992EC" w:rsidP="27191465" w:rsidRDefault="010992EC" w14:paraId="00E271B4" w14:textId="5F40F7C6">
                  <w:p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0"/>
                      <w:szCs w:val="20"/>
                      <w:lang w:val="en-US"/>
                    </w:rPr>
                  </w:pPr>
                </w:p>
                <w:p w:rsidR="010992EC" w:rsidP="27191465" w:rsidRDefault="010992EC" w14:paraId="64CFE0BD" w14:textId="39390E5C">
                  <w:p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160" w:afterAutospacing="off" w:line="480" w:lineRule="atLeast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ते कुकुनेतांगा: जीवन चक्र का विकास एक साझेदारी है जिसमें ऑटो स्प्रिंट (न्यूजीलैंड का खेल प्रदर्शन अनुसंधान संस्थान)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मिडवाइफरी और महिला स्वास्थ्य अनुसंधान के लिए ऑटो केंद्र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शारीरिक गतिविधि और खेल अनुसंधान के लिए ते काकानो नेटवर्क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ऑटो ते इपुकारिया (नेशनल माओरी) शामिल हैं। भाषा संस्थान)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,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 xml:space="preserve">और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  <w:t xml:space="preserve">NZ </w:t>
                  </w: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रक्षा बल।</w:t>
                  </w:r>
                </w:p>
                <w:p w:rsidR="010992EC" w:rsidP="27191465" w:rsidRDefault="010992EC" w14:paraId="0B90C842" w14:textId="5FF3A851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</w:p>
                <w:p w:rsidR="010992EC" w:rsidP="27191465" w:rsidRDefault="010992EC" w14:paraId="00A7E5EF" w14:textId="1C6EE716">
                  <w:p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Style w:val="y2iqfc"/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पूर्ण ते कुकुनेतंगा कार्यक्रम कई वर्षों तक चलेगा और इसमें निम्नलिखित परियोजनाएं शामिल हैं:</w:t>
                  </w:r>
                </w:p>
                <w:p w:rsidR="010992EC" w:rsidP="27191465" w:rsidRDefault="010992EC" w14:paraId="48DC5AC4" w14:textId="5EB6D00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Style w:val="y2iqfc"/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माध्यम से शारीरिक विकास</w:t>
                  </w:r>
                </w:p>
                <w:p w:rsidR="010992EC" w:rsidP="27191465" w:rsidRDefault="010992EC" w14:paraId="198BC037" w14:textId="716BA8C3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Style w:val="y2iqfc"/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दौरान गति और भावना का संबंध</w:t>
                  </w:r>
                </w:p>
                <w:p w:rsidR="010992EC" w:rsidP="27191465" w:rsidRDefault="010992EC" w14:paraId="00D1E506" w14:textId="78848C6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दौरान आसनीय नियंत्रण</w:t>
                  </w:r>
                </w:p>
                <w:p w:rsidR="010992EC" w:rsidP="27191465" w:rsidRDefault="010992EC" w14:paraId="34101241" w14:textId="250B26A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स्वास्थ्य परिणामों में सुधार के लिए भविष्य कहनेवाला मॉडलिंग का उपयोग करना</w:t>
                  </w:r>
                </w:p>
                <w:p w:rsidR="010992EC" w:rsidP="27191465" w:rsidRDefault="010992EC" w14:paraId="4F33EF35" w14:textId="3CE040B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दौरान अंतरिक्ष की दृश्य धारणा</w:t>
                  </w:r>
                </w:p>
                <w:p w:rsidR="010992EC" w:rsidP="27191465" w:rsidRDefault="010992EC" w14:paraId="17B7B060" w14:textId="41EC8B9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दौरान खाए जाने वाले खाद्य पदार्थ</w:t>
                  </w:r>
                </w:p>
                <w:p w:rsidR="010992EC" w:rsidP="27191465" w:rsidRDefault="010992EC" w14:paraId="6027A8D2" w14:textId="738D285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दौरान दौड़ना</w:t>
                  </w:r>
                </w:p>
                <w:p w:rsidR="010992EC" w:rsidP="27191465" w:rsidRDefault="010992EC" w14:paraId="650B0D1E" w14:textId="36ECF536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बाद सेना के लिए ड्यूटी गाइडलाइन पर लौटें</w:t>
                  </w:r>
                </w:p>
                <w:p w:rsidR="010992EC" w:rsidP="27191465" w:rsidRDefault="010992EC" w14:paraId="31FDAEE6" w14:textId="07B4B91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bidi w:val="0"/>
                    <w:spacing w:before="0" w:beforeAutospacing="off" w:after="0" w:afterAutospacing="off" w:line="480" w:lineRule="atLeast"/>
                    <w:ind/>
                    <w:rPr>
                      <w:rFonts w:ascii="Mangal" w:hAnsi="Mangal" w:eastAsia="Mangal" w:cs="Mangal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27191465" w:rsidR="1B907414">
                    <w:rPr>
                      <w:rFonts w:ascii="Mangal" w:hAnsi="Mangal" w:eastAsia="Mangal" w:cs="Mang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 w:bidi="hi-IN"/>
                    </w:rPr>
                    <w:t>गर्भावस्था के दौरान और बाद में मातृ मनोवैज्ञानिक कल्याण</w:t>
                  </w:r>
                </w:p>
                <w:p w:rsidR="010992EC" w:rsidP="27191465" w:rsidRDefault="010992EC" w14:paraId="0AEF2BBD" w14:textId="30DCD385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</w:p>
                <w:p w:rsidR="010992EC" w:rsidP="7C28C02B" w:rsidRDefault="010992EC" w14:paraId="1208FC4C" w14:textId="0E484283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noProof w:val="0"/>
                      <w:sz w:val="24"/>
                      <w:szCs w:val="24"/>
                      <w:lang w:val="en-US"/>
                    </w:rPr>
                  </w:pPr>
                </w:p>
                <w:p w:rsidR="010992EC" w:rsidP="6ADDC3C0" w:rsidRDefault="010992EC" w14:paraId="5366E9DF" w14:textId="4D57B8BA">
                  <w:pPr>
                    <w:pStyle w:val="Normal"/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0"/>
                      <w:szCs w:val="20"/>
                      <w:lang w:val="en-US"/>
                    </w:rPr>
                  </w:pPr>
                </w:p>
                <w:p w:rsidR="010992EC" w:rsidP="7C28C02B" w:rsidRDefault="010992EC" w14:paraId="66BFE3A3" w14:textId="4D84C679">
                  <w:pPr>
                    <w:bidi w:val="0"/>
                    <w:spacing w:before="0" w:beforeAutospacing="off" w:after="40" w:afterAutospacing="off" w:line="259" w:lineRule="auto"/>
                    <w:ind/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noProof w:val="0"/>
                      <w:sz w:val="24"/>
                      <w:szCs w:val="24"/>
                      <w:lang w:val="en-NZ"/>
                    </w:rPr>
                  </w:pPr>
                </w:p>
                <w:p w:rsidR="010992EC" w:rsidP="27191465" w:rsidRDefault="010992EC" w14:paraId="2CD68948" w14:textId="4A31E550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0"/>
                      <w:szCs w:val="20"/>
                      <w:lang w:val="en-US"/>
                    </w:rPr>
                  </w:pPr>
                </w:p>
                <w:p w:rsidR="010992EC" w:rsidP="27191465" w:rsidRDefault="010992EC" w14:paraId="14160BBA" w14:textId="15F30740">
                  <w:pPr>
                    <w:bidi w:val="0"/>
                    <w:spacing w:before="0" w:beforeAutospacing="off" w:after="160" w:afterAutospacing="off" w:line="259" w:lineRule="auto"/>
                    <w:ind/>
                    <w:rPr>
                      <w:rFonts w:ascii="Segoe UI" w:hAnsi="Segoe UI" w:eastAsia="Segoe UI" w:cs="Segoe U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536972"/>
                      <w:sz w:val="22"/>
                      <w:szCs w:val="22"/>
                      <w:lang w:val="en-US"/>
                    </w:rPr>
                  </w:pPr>
                </w:p>
                <w:p w:rsidR="010992EC" w:rsidP="7C28C02B" w:rsidRDefault="010992EC" w14:paraId="45C9C8EF" w14:textId="186D4AE1">
                  <w:pPr>
                    <w:bidi w:val="0"/>
                    <w:spacing w:before="0" w:beforeAutospacing="on" w:after="160" w:afterAutospacing="on" w:line="240" w:lineRule="auto"/>
                    <w:ind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NZ"/>
                    </w:rPr>
                  </w:pPr>
                </w:p>
                <w:p w:rsidR="010992EC" w:rsidP="27191465" w:rsidRDefault="010992EC" w14:paraId="7AF722AA" w14:textId="2A5EA713">
                  <w:pPr>
                    <w:bidi w:val="0"/>
                    <w:spacing w:before="0" w:beforeAutospacing="on" w:after="160" w:afterAutospacing="on" w:line="240" w:lineRule="auto"/>
                    <w:ind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</w:p>
                <w:p w:rsidRPr="00A403AB" w:rsidR="0024584E" w:rsidP="7C28C02B" w:rsidRDefault="0024584E" w14:paraId="15B0077B" w14:textId="7232B409">
                  <w:pPr>
                    <w:spacing w:before="0" w:beforeAutospacing="off" w:after="160" w:afterAutospacing="off" w:line="259" w:lineRule="auto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</w:pPr>
                  <w:r w:rsidRPr="7C28C02B" w:rsidR="3500A67C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Pr="00A403AB" w:rsidR="00A403AB" w:rsidP="00A403AB" w:rsidRDefault="00A403AB" w14:paraId="4A44AA44" w14:textId="77777777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Pr="00A403AB" w:rsidR="00A403AB" w:rsidTr="7C28C02B" w14:paraId="72A7BA9D" w14:textId="77777777">
        <w:trPr>
          <w:trHeight w:val="859"/>
        </w:trPr>
        <w:tc>
          <w:tcPr>
            <w:tcW w:w="119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E7960" w:rsidP="004E7960" w:rsidRDefault="004E7960" w14:paraId="33037DB7" w14:textId="77777777">
            <w:pPr>
              <w:spacing w:after="40"/>
              <w:rPr>
                <w:b/>
                <w:bCs/>
                <w:color w:val="000000"/>
              </w:rPr>
            </w:pPr>
          </w:p>
          <w:p w:rsidR="004E7960" w:rsidP="00C74EB6" w:rsidRDefault="00DF1679" w14:paraId="56641720" w14:textId="30B90334">
            <w:pPr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  <w:p w:rsidRPr="00A403AB" w:rsidR="00A403AB" w:rsidP="00A403AB" w:rsidRDefault="00A403AB" w14:paraId="58D80795" w14:textId="77777777">
            <w:pPr>
              <w:spacing w:after="200" w:line="276" w:lineRule="auto"/>
              <w:rPr>
                <w:rFonts w:ascii="Arial" w:hAnsi="Arial" w:eastAsia="Times New Roman" w:cs="Arial"/>
                <w:b/>
                <w:color w:val="339FAD"/>
                <w:sz w:val="36"/>
                <w:szCs w:val="36"/>
                <w:lang w:eastAsia="en-NZ"/>
              </w:rPr>
            </w:pPr>
          </w:p>
        </w:tc>
      </w:tr>
    </w:tbl>
    <w:p w:rsidRPr="00A403AB" w:rsidR="00F0551C" w:rsidRDefault="00F0551C" w14:paraId="27AF10EC" w14:textId="77777777">
      <w:pPr>
        <w:rPr>
          <w:rFonts w:ascii="Arial" w:hAnsi="Arial" w:cs="Arial"/>
        </w:rPr>
      </w:pPr>
    </w:p>
    <w:sectPr w:rsidRPr="00A403AB" w:rsidR="00F0551C" w:rsidSect="00A403A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email"/>
    <w:dataType w:val="textFile"/>
    <w:activeRecord w:val="-1"/>
  </w:mailMerge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AB"/>
    <w:rsid w:val="000E731C"/>
    <w:rsid w:val="0010090B"/>
    <w:rsid w:val="001F55A3"/>
    <w:rsid w:val="0024584E"/>
    <w:rsid w:val="002E5060"/>
    <w:rsid w:val="00336D5A"/>
    <w:rsid w:val="0038637B"/>
    <w:rsid w:val="004E7960"/>
    <w:rsid w:val="005161FB"/>
    <w:rsid w:val="00587A71"/>
    <w:rsid w:val="006D4DE7"/>
    <w:rsid w:val="00711515"/>
    <w:rsid w:val="00711929"/>
    <w:rsid w:val="00717CA2"/>
    <w:rsid w:val="00786A0A"/>
    <w:rsid w:val="008F1DEC"/>
    <w:rsid w:val="00902EA2"/>
    <w:rsid w:val="00915843"/>
    <w:rsid w:val="00A403AB"/>
    <w:rsid w:val="00B8790E"/>
    <w:rsid w:val="00C5402A"/>
    <w:rsid w:val="00C74EB6"/>
    <w:rsid w:val="00D3313E"/>
    <w:rsid w:val="00DF1679"/>
    <w:rsid w:val="00EB0E40"/>
    <w:rsid w:val="00F0551C"/>
    <w:rsid w:val="010992EC"/>
    <w:rsid w:val="05549F56"/>
    <w:rsid w:val="0743EA76"/>
    <w:rsid w:val="08DEE053"/>
    <w:rsid w:val="09E24646"/>
    <w:rsid w:val="0B33165A"/>
    <w:rsid w:val="0B7F8D86"/>
    <w:rsid w:val="0BD50FD7"/>
    <w:rsid w:val="104E774F"/>
    <w:rsid w:val="10B7A554"/>
    <w:rsid w:val="11633DC5"/>
    <w:rsid w:val="119FDB32"/>
    <w:rsid w:val="11F39C50"/>
    <w:rsid w:val="12465CF3"/>
    <w:rsid w:val="125AA6E4"/>
    <w:rsid w:val="1307BBD7"/>
    <w:rsid w:val="134EAE75"/>
    <w:rsid w:val="15BA2223"/>
    <w:rsid w:val="15C0267C"/>
    <w:rsid w:val="16AA4A2D"/>
    <w:rsid w:val="16E1C3E5"/>
    <w:rsid w:val="1B907414"/>
    <w:rsid w:val="1CF2661C"/>
    <w:rsid w:val="1D406D4C"/>
    <w:rsid w:val="1D851D15"/>
    <w:rsid w:val="1DBB7773"/>
    <w:rsid w:val="20229AAD"/>
    <w:rsid w:val="2136D9E5"/>
    <w:rsid w:val="2573EC6C"/>
    <w:rsid w:val="25880BBD"/>
    <w:rsid w:val="2718D1CC"/>
    <w:rsid w:val="27191465"/>
    <w:rsid w:val="27CB3992"/>
    <w:rsid w:val="28831FF3"/>
    <w:rsid w:val="291865A0"/>
    <w:rsid w:val="29A7D79A"/>
    <w:rsid w:val="2A95E9B2"/>
    <w:rsid w:val="2A97979E"/>
    <w:rsid w:val="2ACEEB48"/>
    <w:rsid w:val="2BD59BBE"/>
    <w:rsid w:val="2C2E4C9A"/>
    <w:rsid w:val="2EB49034"/>
    <w:rsid w:val="348AA8A6"/>
    <w:rsid w:val="3500A67C"/>
    <w:rsid w:val="355A4C80"/>
    <w:rsid w:val="36887F57"/>
    <w:rsid w:val="36B27179"/>
    <w:rsid w:val="370560E2"/>
    <w:rsid w:val="387650BF"/>
    <w:rsid w:val="3973DE53"/>
    <w:rsid w:val="3A597478"/>
    <w:rsid w:val="3ADFD404"/>
    <w:rsid w:val="3B7853AC"/>
    <w:rsid w:val="3BEFBFC6"/>
    <w:rsid w:val="3E474F76"/>
    <w:rsid w:val="3E506BEC"/>
    <w:rsid w:val="3F44AE43"/>
    <w:rsid w:val="41462FAE"/>
    <w:rsid w:val="41B44C17"/>
    <w:rsid w:val="42652987"/>
    <w:rsid w:val="42BEF4F1"/>
    <w:rsid w:val="43471ADB"/>
    <w:rsid w:val="437485D8"/>
    <w:rsid w:val="44482D36"/>
    <w:rsid w:val="4497168E"/>
    <w:rsid w:val="44C97DF2"/>
    <w:rsid w:val="4745BFA0"/>
    <w:rsid w:val="4893B228"/>
    <w:rsid w:val="49EDBC23"/>
    <w:rsid w:val="49F1C129"/>
    <w:rsid w:val="4C4A32B1"/>
    <w:rsid w:val="4E4EE81A"/>
    <w:rsid w:val="4F5FF9AF"/>
    <w:rsid w:val="4FFAE463"/>
    <w:rsid w:val="51F393A6"/>
    <w:rsid w:val="52DA8E25"/>
    <w:rsid w:val="52DCE3C7"/>
    <w:rsid w:val="55BF7291"/>
    <w:rsid w:val="57CFD3FD"/>
    <w:rsid w:val="57D1C6E2"/>
    <w:rsid w:val="57D56BF6"/>
    <w:rsid w:val="58D36AAD"/>
    <w:rsid w:val="5A4174F9"/>
    <w:rsid w:val="5A8C2D85"/>
    <w:rsid w:val="5B207C40"/>
    <w:rsid w:val="5DB31034"/>
    <w:rsid w:val="5DB3616D"/>
    <w:rsid w:val="60A372B1"/>
    <w:rsid w:val="629C98DE"/>
    <w:rsid w:val="63DA42DB"/>
    <w:rsid w:val="64C6A888"/>
    <w:rsid w:val="683B3E56"/>
    <w:rsid w:val="6989B5AE"/>
    <w:rsid w:val="6ADDC3C0"/>
    <w:rsid w:val="6CE49D22"/>
    <w:rsid w:val="6D32321C"/>
    <w:rsid w:val="6D3CFA53"/>
    <w:rsid w:val="6E5D26D1"/>
    <w:rsid w:val="6F74F268"/>
    <w:rsid w:val="701052D3"/>
    <w:rsid w:val="70997AFB"/>
    <w:rsid w:val="70D6EF27"/>
    <w:rsid w:val="728C1C35"/>
    <w:rsid w:val="730630E3"/>
    <w:rsid w:val="73A190B0"/>
    <w:rsid w:val="74EFAF07"/>
    <w:rsid w:val="76B69FD3"/>
    <w:rsid w:val="76F68205"/>
    <w:rsid w:val="77893218"/>
    <w:rsid w:val="77EE363D"/>
    <w:rsid w:val="78274FC9"/>
    <w:rsid w:val="7A3A0192"/>
    <w:rsid w:val="7C28C02B"/>
    <w:rsid w:val="7CAFCEBF"/>
    <w:rsid w:val="7EF81A13"/>
    <w:rsid w:val="7FF2D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298C"/>
  <w15:chartTrackingRefBased/>
  <w15:docId w15:val="{BA63022B-093F-4C03-A13A-F0AAA7DC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3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403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84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584E"/>
  </w:style>
  <w:style w:type="paragraph" w:styleId="Footer">
    <w:name w:val="footer"/>
    <w:basedOn w:val="Normal"/>
    <w:link w:val="FooterChar"/>
    <w:uiPriority w:val="99"/>
    <w:unhideWhenUsed/>
    <w:rsid w:val="0024584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584E"/>
  </w:style>
  <w:style w:type="character" w:styleId="FollowedHyperlink">
    <w:name w:val="FollowedHyperlink"/>
    <w:basedOn w:val="DefaultParagraphFont"/>
    <w:uiPriority w:val="99"/>
    <w:semiHidden/>
    <w:unhideWhenUsed/>
    <w:rsid w:val="00902EA2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y2iqfc" w:customStyle="true">
    <w:name w:val="y2iqfc"/>
    <w:basedOn w:val="DefaultParagraphFont"/>
    <w:rsid w:val="2719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numbering" Target="/word/numbering.xml" Id="Refdd49c41d804c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BE0E5F53F83488DCA0175B6FF11D1" ma:contentTypeVersion="9" ma:contentTypeDescription="Create a new document." ma:contentTypeScope="" ma:versionID="d933674b00fd07baf4d1b5cf7062a61e">
  <xsd:schema xmlns:xsd="http://www.w3.org/2001/XMLSchema" xmlns:xs="http://www.w3.org/2001/XMLSchema" xmlns:p="http://schemas.microsoft.com/office/2006/metadata/properties" xmlns:ns2="47421f46-f73a-4c93-a8ce-d44c97a3bb1e" targetNamespace="http://schemas.microsoft.com/office/2006/metadata/properties" ma:root="true" ma:fieldsID="d8a6d7ff46db501e78c737d57ceabf5e" ns2:_="">
    <xsd:import namespace="47421f46-f73a-4c93-a8ce-d44c97a3b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1f46-f73a-4c93-a8ce-d44c97a3b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26D5-1663-4173-A8D7-986A2A39ABDE}">
  <ds:schemaRefs>
    <ds:schemaRef ds:uri="http://schemas.microsoft.com/office/2006/metadata/properties"/>
    <ds:schemaRef ds:uri="47421f46-f73a-4c93-a8ce-d44c97a3bb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B3FF21-EA37-4AE7-BE8C-3C8C725C6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48148-0C53-4812-88E7-B96C6D8E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21f46-f73a-4c93-a8ce-d44c97a3b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66BD0B-2CF7-4F8D-AF47-2500E914D5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AUT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Yeo</dc:creator>
  <keywords/>
  <dc:description/>
  <lastModifiedBy>Andrea Malcolm</lastModifiedBy>
  <revision>11</revision>
  <dcterms:created xsi:type="dcterms:W3CDTF">2021-06-11T02:14:00.0000000Z</dcterms:created>
  <dcterms:modified xsi:type="dcterms:W3CDTF">2021-07-07T03:17:32.2445730Z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0x010100023BE0E5F53F83488DCA0175B6FF11D1</vt:lpwstr>
  </property>
</Properties>
</file>