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3B7A" w14:textId="334FEEFB" w:rsidR="00364200" w:rsidRDefault="00870E12">
      <w:pPr>
        <w:pStyle w:val="BodyText"/>
        <w:ind w:left="14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E3AF73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45.95pt;height:21.85pt;mso-left-percent:-10001;mso-top-percent:-10001;mso-position-horizontal:absolute;mso-position-horizontal-relative:char;mso-position-vertical:absolute;mso-position-vertical-relative:line;mso-left-percent:-10001;mso-top-percent:-10001" fillcolor="#5b9bd4" stroked="f">
            <v:textbox inset="0,0,0,0">
              <w:txbxContent>
                <w:p w14:paraId="0594C033" w14:textId="2D78F70B" w:rsidR="00364200" w:rsidRDefault="00C213FD" w:rsidP="00C213FD">
                  <w:pPr>
                    <w:spacing w:before="72"/>
                    <w:ind w:left="1701" w:right="1701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RUGBY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CODES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RESEARCH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GROUP</w:t>
                  </w:r>
                </w:p>
              </w:txbxContent>
            </v:textbox>
            <w10:anchorlock/>
          </v:shape>
        </w:pict>
      </w:r>
    </w:p>
    <w:p w14:paraId="0BDD8D91" w14:textId="0C2A0A35" w:rsidR="00364200" w:rsidRDefault="00C65912">
      <w:pPr>
        <w:pStyle w:val="BodyText"/>
        <w:spacing w:before="2"/>
        <w:ind w:left="0"/>
        <w:rPr>
          <w:rFonts w:ascii="Times New Roman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B7E09E" wp14:editId="553FE0BB">
                <wp:simplePos x="0" y="0"/>
                <wp:positionH relativeFrom="margin">
                  <wp:posOffset>139700</wp:posOffset>
                </wp:positionH>
                <wp:positionV relativeFrom="margin">
                  <wp:posOffset>378902</wp:posOffset>
                </wp:positionV>
                <wp:extent cx="4212590" cy="441960"/>
                <wp:effectExtent l="19050" t="19050" r="16510" b="15240"/>
                <wp:wrapSquare wrapText="bothSides"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419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40E04" w14:textId="03EF095C" w:rsidR="00A82DBF" w:rsidRPr="00A82DBF" w:rsidRDefault="006D4A59" w:rsidP="00A82DBF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Associate Professor Simon Walters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E0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9" o:spid="_x0000_s1026" type="#_x0000_t185" style="position:absolute;margin-left:11pt;margin-top:29.85pt;width:331.7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39540E04" w14:textId="03EF095C" w:rsidR="00A82DBF" w:rsidRPr="00A82DBF" w:rsidRDefault="006D4A59" w:rsidP="00A82DBF">
                      <w:pPr>
                        <w:pStyle w:val="BodyText"/>
                        <w:jc w:val="center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Associate Professor Simon Walters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A59">
        <w:rPr>
          <w:b/>
          <w:noProof/>
          <w:color w:val="006FC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DD1BB66" wp14:editId="388C2C7D">
                <wp:simplePos x="0" y="0"/>
                <wp:positionH relativeFrom="margin">
                  <wp:posOffset>5073650</wp:posOffset>
                </wp:positionH>
                <wp:positionV relativeFrom="margin">
                  <wp:posOffset>457200</wp:posOffset>
                </wp:positionV>
                <wp:extent cx="2018030" cy="1250950"/>
                <wp:effectExtent l="19050" t="19050" r="20320" b="25400"/>
                <wp:wrapSquare wrapText="bothSides"/>
                <wp:docPr id="6" name="Double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12509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ECFD8" w14:textId="63F87EBF" w:rsidR="007B616B" w:rsidRPr="00254875" w:rsidRDefault="006D4A59" w:rsidP="007B616B">
                            <w:pPr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47609" wp14:editId="296F514D">
                                  <wp:extent cx="1793240" cy="1123950"/>
                                  <wp:effectExtent l="0" t="0" r="0" b="0"/>
                                  <wp:docPr id="1" name="Picture 1" descr="A picture containing sport, athletic game, badminton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port, athletic game, badminton, pers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24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BB66" id="Double Bracket 6" o:spid="_x0000_s1027" type="#_x0000_t185" style="position:absolute;margin-left:399.5pt;margin-top:36pt;width:158.9pt;height:9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798ECFD8" w14:textId="63F87EBF" w:rsidR="007B616B" w:rsidRPr="00254875" w:rsidRDefault="006D4A59" w:rsidP="007B616B">
                      <w:pPr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47609" wp14:editId="296F514D">
                            <wp:extent cx="1793240" cy="1123950"/>
                            <wp:effectExtent l="0" t="0" r="0" b="0"/>
                            <wp:docPr id="1" name="Picture 1" descr="A picture containing sport, athletic game, badminton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port, athletic game, badminton, pers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24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8CE755" w14:textId="6DAFCBCB" w:rsidR="00632597" w:rsidRDefault="00632597">
      <w:pPr>
        <w:spacing w:before="1"/>
        <w:ind w:left="1965" w:right="6304"/>
        <w:jc w:val="center"/>
        <w:rPr>
          <w:sz w:val="28"/>
        </w:rPr>
      </w:pPr>
    </w:p>
    <w:p w14:paraId="3C7316F6" w14:textId="7B16EBC9" w:rsidR="00A82DBF" w:rsidRDefault="00A82DBF" w:rsidP="00C65912">
      <w:pPr>
        <w:pStyle w:val="BodyText"/>
        <w:ind w:right="3430"/>
        <w:rPr>
          <w:b/>
          <w:color w:val="006FC0"/>
        </w:rPr>
      </w:pPr>
    </w:p>
    <w:p w14:paraId="1D650FAC" w14:textId="4A4BED06" w:rsidR="00364200" w:rsidRDefault="00C213FD" w:rsidP="00EA0CD0">
      <w:pPr>
        <w:pStyle w:val="BodyText"/>
        <w:spacing w:before="101"/>
        <w:ind w:left="0" w:right="3430"/>
      </w:pPr>
      <w:r>
        <w:rPr>
          <w:b/>
          <w:color w:val="006FC0"/>
        </w:rPr>
        <w:t>Research specialization:</w:t>
      </w:r>
      <w:r w:rsidR="00B941DD">
        <w:rPr>
          <w:b/>
          <w:color w:val="006FC0"/>
          <w:spacing w:val="1"/>
        </w:rPr>
        <w:t xml:space="preserve"> </w:t>
      </w:r>
      <w:r>
        <w:t xml:space="preserve">Sports </w:t>
      </w:r>
      <w:r w:rsidR="006D4A59">
        <w:t xml:space="preserve">coaching, coach development, youth development. </w:t>
      </w:r>
    </w:p>
    <w:p w14:paraId="4916EE75" w14:textId="0AC744DE" w:rsidR="00364200" w:rsidRDefault="00364200">
      <w:pPr>
        <w:pStyle w:val="BodyText"/>
        <w:ind w:left="0"/>
      </w:pPr>
    </w:p>
    <w:p w14:paraId="5CD07DD6" w14:textId="74B92271" w:rsidR="00364200" w:rsidRDefault="00C213FD" w:rsidP="00C65912">
      <w:pPr>
        <w:pStyle w:val="BodyText"/>
        <w:ind w:left="0" w:right="71"/>
        <w:jc w:val="both"/>
      </w:pPr>
      <w:r>
        <w:rPr>
          <w:b/>
          <w:color w:val="006FC0"/>
        </w:rPr>
        <w:t>Experience:</w:t>
      </w:r>
      <w:r>
        <w:rPr>
          <w:b/>
          <w:color w:val="006FC0"/>
          <w:spacing w:val="1"/>
        </w:rPr>
        <w:t xml:space="preserve"> </w:t>
      </w:r>
      <w:r w:rsidR="006D4A59">
        <w:t>Simon is an Associate Professor a</w:t>
      </w:r>
      <w:r w:rsidR="00B941DD">
        <w:t>t Auckland University of Technology where he le</w:t>
      </w:r>
      <w:r w:rsidR="004E6745">
        <w:t xml:space="preserve">ads sports coaching courses in the Bachelor of Sport and Recreation Coaching major and the Master of Sport Exercise and Health Coaching specialization. He received a Master </w:t>
      </w:r>
      <w:r w:rsidR="008405EF">
        <w:t>of</w:t>
      </w:r>
      <w:r w:rsidR="004E6745">
        <w:t xml:space="preserve"> Science in Sociology of Sport at the University of Leicester and completed his Doctor of Philosophy at </w:t>
      </w:r>
      <w:r w:rsidR="00CE7738">
        <w:t xml:space="preserve">Auckland University of Technology. He </w:t>
      </w:r>
      <w:r w:rsidR="00322AFD">
        <w:t xml:space="preserve">has coached football predominantly at a community level, and athletics, mountain running and orienteering </w:t>
      </w:r>
      <w:r w:rsidR="00B941DD">
        <w:t xml:space="preserve">working with athletes from </w:t>
      </w:r>
      <w:r w:rsidR="00322AFD">
        <w:t xml:space="preserve">junior level through to senior and national level. </w:t>
      </w:r>
    </w:p>
    <w:p w14:paraId="45785076" w14:textId="77777777" w:rsidR="00364200" w:rsidRDefault="00364200">
      <w:pPr>
        <w:pStyle w:val="BodyText"/>
        <w:spacing w:before="1"/>
        <w:ind w:left="0"/>
      </w:pPr>
    </w:p>
    <w:p w14:paraId="41E58A75" w14:textId="49C0BF02" w:rsidR="00F57590" w:rsidRPr="00EA0CD0" w:rsidRDefault="00C213FD" w:rsidP="00C6591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right" w:pos="8505"/>
        </w:tabs>
        <w:ind w:right="1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7590">
        <w:rPr>
          <w:rFonts w:asciiTheme="minorHAnsi" w:hAnsiTheme="minorHAnsi" w:cstheme="minorHAnsi"/>
          <w:b/>
          <w:color w:val="006FC0"/>
          <w:sz w:val="20"/>
          <w:szCs w:val="20"/>
        </w:rPr>
        <w:t>Research overview:</w:t>
      </w:r>
      <w:r w:rsidRPr="00F57590">
        <w:rPr>
          <w:rFonts w:asciiTheme="minorHAnsi" w:hAnsiTheme="minorHAnsi" w:cstheme="minorHAnsi"/>
          <w:b/>
          <w:color w:val="006FC0"/>
          <w:spacing w:val="1"/>
          <w:sz w:val="20"/>
          <w:szCs w:val="20"/>
        </w:rPr>
        <w:t xml:space="preserve"> </w:t>
      </w:r>
      <w:r w:rsidR="00322AFD" w:rsidRPr="00EA0CD0">
        <w:rPr>
          <w:rFonts w:asciiTheme="minorHAnsi" w:hAnsiTheme="minorHAnsi" w:cstheme="minorHAnsi"/>
          <w:sz w:val="20"/>
          <w:szCs w:val="20"/>
        </w:rPr>
        <w:t xml:space="preserve">A focus on enhancing the experiences of all young people participating in organized sport. A lot of my work draws upon qualitative methodologies </w:t>
      </w:r>
      <w:r w:rsidR="00F57590" w:rsidRPr="00EA0CD0">
        <w:rPr>
          <w:rFonts w:asciiTheme="minorHAnsi" w:hAnsiTheme="minorHAnsi" w:cstheme="minorHAnsi"/>
          <w:sz w:val="20"/>
          <w:szCs w:val="20"/>
        </w:rPr>
        <w:t xml:space="preserve">with an emphasis on representing participant voice. Current projects include an international collaborative project led by New Zealand Rugby designing, </w:t>
      </w:r>
      <w:proofErr w:type="gramStart"/>
      <w:r w:rsidR="00F57590" w:rsidRPr="00EA0CD0">
        <w:rPr>
          <w:rFonts w:asciiTheme="minorHAnsi" w:hAnsiTheme="minorHAnsi" w:cstheme="minorHAnsi"/>
          <w:sz w:val="20"/>
          <w:szCs w:val="20"/>
        </w:rPr>
        <w:t>implementing</w:t>
      </w:r>
      <w:proofErr w:type="gramEnd"/>
      <w:r w:rsidR="00F57590" w:rsidRPr="00EA0CD0">
        <w:rPr>
          <w:rFonts w:asciiTheme="minorHAnsi" w:hAnsiTheme="minorHAnsi" w:cstheme="minorHAnsi"/>
          <w:sz w:val="20"/>
          <w:szCs w:val="20"/>
        </w:rPr>
        <w:t xml:space="preserve"> and evaluating a concussion management pathway for community rugby in New Zealand. A further related project is </w:t>
      </w:r>
      <w:r w:rsidR="00EA0CD0" w:rsidRPr="00EA0CD0">
        <w:rPr>
          <w:rFonts w:asciiTheme="minorHAnsi" w:hAnsiTheme="minorHAnsi" w:cstheme="minorHAnsi"/>
          <w:sz w:val="20"/>
          <w:szCs w:val="20"/>
        </w:rPr>
        <w:t>the d</w:t>
      </w:r>
      <w:r w:rsidR="00F57590" w:rsidRPr="00EA0CD0">
        <w:rPr>
          <w:rFonts w:asciiTheme="minorHAnsi" w:hAnsiTheme="minorHAnsi" w:cstheme="minorHAnsi"/>
          <w:color w:val="000000"/>
          <w:sz w:val="20"/>
          <w:szCs w:val="20"/>
        </w:rPr>
        <w:t xml:space="preserve">evelopment of a rugby concussion management </w:t>
      </w:r>
      <w:r w:rsidR="00EA0CD0" w:rsidRPr="00EA0CD0">
        <w:rPr>
          <w:rFonts w:asciiTheme="minorHAnsi" w:hAnsiTheme="minorHAnsi" w:cstheme="minorHAnsi"/>
          <w:color w:val="000000"/>
          <w:sz w:val="20"/>
          <w:szCs w:val="20"/>
        </w:rPr>
        <w:t xml:space="preserve">guidelines </w:t>
      </w:r>
      <w:r w:rsidR="00F57590" w:rsidRPr="00EA0CD0">
        <w:rPr>
          <w:rFonts w:asciiTheme="minorHAnsi" w:hAnsiTheme="minorHAnsi" w:cstheme="minorHAnsi"/>
          <w:color w:val="000000"/>
          <w:sz w:val="20"/>
          <w:szCs w:val="20"/>
        </w:rPr>
        <w:t xml:space="preserve">for high schools. </w:t>
      </w:r>
      <w:r w:rsidR="00EA0CD0" w:rsidRPr="00EA0CD0">
        <w:rPr>
          <w:rFonts w:asciiTheme="minorHAnsi" w:hAnsiTheme="minorHAnsi" w:cstheme="minorHAnsi"/>
          <w:color w:val="000000"/>
          <w:sz w:val="20"/>
          <w:szCs w:val="20"/>
        </w:rPr>
        <w:t>Previous rugby-related research has explored s</w:t>
      </w:r>
      <w:r w:rsidR="00EA0CD0" w:rsidRPr="00EA0CD0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econdary school first XV</w:t>
      </w:r>
      <w:r w:rsidR="00EA0CD0" w:rsidRPr="00EA0CD0">
        <w:rPr>
          <w:rFonts w:asciiTheme="minorHAnsi" w:hAnsiTheme="minorHAnsi" w:cstheme="minorHAnsi"/>
          <w:i/>
          <w:iCs/>
          <w:color w:val="4D5156"/>
          <w:sz w:val="20"/>
          <w:szCs w:val="20"/>
          <w:shd w:val="clear" w:color="auto" w:fill="FFFFFF"/>
        </w:rPr>
        <w:t xml:space="preserve"> </w:t>
      </w:r>
      <w:r w:rsidR="00EA0CD0" w:rsidRPr="00EA0CD0">
        <w:rPr>
          <w:rStyle w:val="Emphasis"/>
          <w:rFonts w:asciiTheme="minorHAnsi" w:hAnsiTheme="minorHAnsi" w:cstheme="minorHAnsi"/>
          <w:i w:val="0"/>
          <w:iCs w:val="0"/>
          <w:color w:val="5F6368"/>
          <w:sz w:val="20"/>
          <w:szCs w:val="20"/>
          <w:shd w:val="clear" w:color="auto" w:fill="FFFFFF"/>
        </w:rPr>
        <w:t>rugby</w:t>
      </w:r>
      <w:r w:rsidR="00EA0CD0" w:rsidRPr="00EA0CD0">
        <w:rPr>
          <w:rStyle w:val="Emphasis"/>
          <w:rFonts w:asciiTheme="minorHAnsi" w:hAnsiTheme="minorHAnsi" w:cstheme="minorHAnsi"/>
          <w:b/>
          <w:bCs/>
          <w:color w:val="5F6368"/>
          <w:sz w:val="20"/>
          <w:szCs w:val="20"/>
          <w:shd w:val="clear" w:color="auto" w:fill="FFFFFF"/>
        </w:rPr>
        <w:t xml:space="preserve"> </w:t>
      </w:r>
      <w:r w:rsidR="00EA0CD0" w:rsidRPr="00EA0CD0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players' perceptions of their coaching environment:</w:t>
      </w:r>
    </w:p>
    <w:p w14:paraId="1DFD84DF" w14:textId="77777777" w:rsidR="00F57590" w:rsidRDefault="00F57590" w:rsidP="00F5759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right" w:pos="8505"/>
        </w:tabs>
        <w:ind w:right="16"/>
        <w:rPr>
          <w:iCs/>
          <w:color w:val="000000"/>
        </w:rPr>
      </w:pPr>
    </w:p>
    <w:p w14:paraId="502D4F17" w14:textId="6A5F92BB" w:rsidR="00364200" w:rsidRDefault="00C213FD">
      <w:pPr>
        <w:pStyle w:val="BodyText"/>
        <w:spacing w:before="59"/>
      </w:pPr>
      <w:r>
        <w:rPr>
          <w:b/>
          <w:color w:val="006FC0"/>
        </w:rPr>
        <w:t>Postgraduate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supervision:</w:t>
      </w:r>
      <w:r>
        <w:rPr>
          <w:b/>
          <w:color w:val="006FC0"/>
          <w:spacing w:val="41"/>
        </w:rPr>
        <w:t xml:space="preserve"> </w:t>
      </w:r>
      <w:r w:rsidR="00614224">
        <w:t xml:space="preserve">Currently 5 PhD &amp; </w:t>
      </w:r>
      <w:r w:rsidR="00A16B88">
        <w:t>5</w:t>
      </w:r>
      <w:r w:rsidR="00614224">
        <w:t xml:space="preserve"> Masters students</w:t>
      </w:r>
    </w:p>
    <w:p w14:paraId="7540124C" w14:textId="26236BC4" w:rsidR="00364200" w:rsidRDefault="00364200">
      <w:pPr>
        <w:pStyle w:val="BodyText"/>
        <w:spacing w:before="11"/>
        <w:ind w:left="0"/>
        <w:rPr>
          <w:sz w:val="19"/>
        </w:rPr>
      </w:pPr>
    </w:p>
    <w:p w14:paraId="360AF1DC" w14:textId="594E82D3" w:rsidR="00364200" w:rsidRDefault="00C213FD">
      <w:pPr>
        <w:ind w:left="112"/>
        <w:rPr>
          <w:sz w:val="20"/>
        </w:rPr>
      </w:pPr>
      <w:r>
        <w:rPr>
          <w:b/>
          <w:color w:val="006FC0"/>
          <w:sz w:val="20"/>
        </w:rPr>
        <w:t>R</w:t>
      </w:r>
      <w:r w:rsidR="00EA0CD0">
        <w:rPr>
          <w:b/>
          <w:color w:val="006FC0"/>
          <w:sz w:val="20"/>
        </w:rPr>
        <w:t>ecent r</w:t>
      </w:r>
      <w:r>
        <w:rPr>
          <w:b/>
          <w:color w:val="006FC0"/>
          <w:sz w:val="20"/>
        </w:rPr>
        <w:t>esearch</w:t>
      </w:r>
      <w:r>
        <w:rPr>
          <w:b/>
          <w:color w:val="006FC0"/>
          <w:spacing w:val="-3"/>
          <w:sz w:val="20"/>
        </w:rPr>
        <w:t xml:space="preserve"> </w:t>
      </w:r>
      <w:r>
        <w:rPr>
          <w:b/>
          <w:color w:val="006FC0"/>
          <w:sz w:val="20"/>
        </w:rPr>
        <w:t>publications</w:t>
      </w:r>
      <w:r w:rsidR="00B41BF4">
        <w:rPr>
          <w:b/>
          <w:color w:val="006FC0"/>
          <w:sz w:val="20"/>
        </w:rPr>
        <w:t xml:space="preserve"> (20</w:t>
      </w:r>
      <w:r w:rsidR="009F4A5E">
        <w:rPr>
          <w:b/>
          <w:color w:val="006FC0"/>
          <w:sz w:val="20"/>
        </w:rPr>
        <w:t>20</w:t>
      </w:r>
      <w:r w:rsidR="00B41BF4">
        <w:rPr>
          <w:b/>
          <w:color w:val="006FC0"/>
          <w:sz w:val="20"/>
        </w:rPr>
        <w:t>-&gt;)</w:t>
      </w:r>
    </w:p>
    <w:p w14:paraId="5F2A813A" w14:textId="020CB026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Salmon, D. M., Badenhorst, M., Walters, S., Clacy, A., Chua, J., Register-Mihalik, J., . . . Whatman, C. (2021). The rugby tug-of-war: Exploring concussion-related behavioural intentions and behaviours in youth community rugby union in New Zealand.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&amp; Coaching</w:t>
      </w:r>
      <w:r w:rsidRPr="00B41BF4">
        <w:rPr>
          <w:rFonts w:asciiTheme="minorHAnsi" w:hAnsiTheme="minorHAnsi" w:cstheme="minorHAnsi"/>
          <w:sz w:val="20"/>
          <w:szCs w:val="20"/>
        </w:rPr>
        <w:t>. doi:</w:t>
      </w:r>
      <w:hyperlink r:id="rId9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10.1177/17479541211047661</w:t>
        </w:r>
      </w:hyperlink>
    </w:p>
    <w:p w14:paraId="6850D41D" w14:textId="772EF231" w:rsidR="008405EF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05EF">
        <w:rPr>
          <w:rFonts w:asciiTheme="minorHAnsi" w:hAnsiTheme="minorHAnsi" w:cstheme="minorHAnsi"/>
          <w:sz w:val="20"/>
          <w:szCs w:val="20"/>
        </w:rPr>
        <w:t>McGowan, J., Walters, S., &amp; Whatman, C. (2021). 10,000 hours and Early Specialization: Short</w:t>
      </w:r>
      <w:r w:rsidRPr="008405EF">
        <w:rPr>
          <w:rFonts w:asciiTheme="minorHAnsi" w:hAnsiTheme="minorHAnsi" w:cstheme="minorHAnsi"/>
          <w:sz w:val="20"/>
          <w:szCs w:val="20"/>
        </w:rPr>
        <w:softHyphen/>
        <w:t xml:space="preserve"> term Gains or Long</w:t>
      </w:r>
      <w:r w:rsidRPr="008405EF">
        <w:rPr>
          <w:rFonts w:asciiTheme="minorHAnsi" w:hAnsiTheme="minorHAnsi" w:cstheme="minorHAnsi"/>
          <w:sz w:val="20"/>
          <w:szCs w:val="20"/>
        </w:rPr>
        <w:softHyphen/>
        <w:t xml:space="preserve"> term </w:t>
      </w:r>
      <w:proofErr w:type="gramStart"/>
      <w:r w:rsidRPr="008405EF">
        <w:rPr>
          <w:rFonts w:asciiTheme="minorHAnsi" w:hAnsiTheme="minorHAnsi" w:cstheme="minorHAnsi"/>
          <w:sz w:val="20"/>
          <w:szCs w:val="20"/>
        </w:rPr>
        <w:t>Pain?.</w:t>
      </w:r>
      <w:proofErr w:type="gramEnd"/>
      <w:r w:rsidRPr="008405EF">
        <w:rPr>
          <w:rFonts w:asciiTheme="minorHAnsi" w:hAnsiTheme="minorHAnsi" w:cstheme="minorHAnsi"/>
          <w:sz w:val="20"/>
          <w:szCs w:val="20"/>
        </w:rPr>
        <w:t xml:space="preserve"> In A. Whitehead, &amp; J. Coe (Eds.), </w:t>
      </w:r>
      <w:r w:rsidRPr="008405EF">
        <w:rPr>
          <w:rFonts w:asciiTheme="minorHAnsi" w:hAnsiTheme="minorHAnsi" w:cstheme="minorHAnsi"/>
          <w:i/>
          <w:iCs/>
          <w:sz w:val="20"/>
          <w:szCs w:val="20"/>
        </w:rPr>
        <w:t>Myths of Sport Coaching</w:t>
      </w:r>
      <w:r w:rsidRPr="008405EF">
        <w:rPr>
          <w:rFonts w:asciiTheme="minorHAnsi" w:hAnsiTheme="minorHAnsi" w:cstheme="minorHAnsi"/>
          <w:sz w:val="20"/>
          <w:szCs w:val="20"/>
        </w:rPr>
        <w:t>. Sequoia Books.</w:t>
      </w:r>
    </w:p>
    <w:p w14:paraId="4C191FA4" w14:textId="5D5516EA" w:rsidR="00B41BF4" w:rsidRPr="008405EF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405EF">
        <w:rPr>
          <w:rFonts w:asciiTheme="minorHAnsi" w:hAnsiTheme="minorHAnsi" w:cstheme="minorHAnsi"/>
          <w:sz w:val="20"/>
          <w:szCs w:val="20"/>
        </w:rPr>
        <w:t xml:space="preserve">Salmon, D., Chua, J., Sullivan, J. S., Whatman, C., Brown, J., Register-Mihalik, J., </w:t>
      </w:r>
      <w:r w:rsidR="009F4A5E">
        <w:rPr>
          <w:rFonts w:asciiTheme="minorHAnsi" w:hAnsiTheme="minorHAnsi" w:cstheme="minorHAnsi"/>
          <w:sz w:val="20"/>
          <w:szCs w:val="20"/>
        </w:rPr>
        <w:t xml:space="preserve">Murphy, I., Walters, S., </w:t>
      </w:r>
      <w:r w:rsidRPr="008405EF">
        <w:rPr>
          <w:rFonts w:asciiTheme="minorHAnsi" w:hAnsiTheme="minorHAnsi" w:cstheme="minorHAnsi"/>
          <w:sz w:val="20"/>
          <w:szCs w:val="20"/>
        </w:rPr>
        <w:t xml:space="preserve">. . . England, M. (2021). Baseline concussion assessment performance of community-based senior rugby players: A cross-sectional study. </w:t>
      </w:r>
      <w:r w:rsidRPr="008405EF">
        <w:rPr>
          <w:rFonts w:asciiTheme="minorHAnsi" w:hAnsiTheme="minorHAnsi" w:cstheme="minorHAnsi"/>
          <w:i/>
          <w:iCs/>
          <w:sz w:val="20"/>
          <w:szCs w:val="20"/>
        </w:rPr>
        <w:t>Brain Injury</w:t>
      </w:r>
      <w:r w:rsidRPr="008405EF">
        <w:rPr>
          <w:rFonts w:asciiTheme="minorHAnsi" w:hAnsiTheme="minorHAnsi" w:cstheme="minorHAnsi"/>
          <w:sz w:val="20"/>
          <w:szCs w:val="20"/>
        </w:rPr>
        <w:t>. doi:</w:t>
      </w:r>
      <w:hyperlink r:id="rId10" w:history="1">
        <w:r w:rsidRPr="008405EF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10.1080/02699052.2021.1972452</w:t>
        </w:r>
      </w:hyperlink>
    </w:p>
    <w:p w14:paraId="7ADFB0CA" w14:textId="5936C9FB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Bradbury, T., Walters, S., Lucas, P., Minjares, V., Lenton, A., Spencer, K., &amp; Spencer, S. (2021). The industry-academic nexus: A case study of collaboration.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Managing Sport and Leisure</w:t>
      </w:r>
      <w:r w:rsidRPr="00B41BF4">
        <w:rPr>
          <w:rFonts w:asciiTheme="minorHAnsi" w:hAnsiTheme="minorHAnsi" w:cstheme="minorHAnsi"/>
          <w:sz w:val="20"/>
          <w:szCs w:val="20"/>
        </w:rPr>
        <w:t>. doi:</w:t>
      </w:r>
      <w:hyperlink r:id="rId11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10.1080/23750472.2021.1918018</w:t>
        </w:r>
      </w:hyperlink>
    </w:p>
    <w:p w14:paraId="728E40E6" w14:textId="07942770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Wilson, O. W. A., Walters, S. R., Naylor, M. E., &amp; Clarke, J. C. (2021). Physical activity and associated constraints following the transition from high school to university.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Recreational Sports Journal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45</w:t>
      </w:r>
      <w:r w:rsidRPr="00B41BF4">
        <w:rPr>
          <w:rFonts w:asciiTheme="minorHAnsi" w:hAnsiTheme="minorHAnsi" w:cstheme="minorHAnsi"/>
          <w:sz w:val="20"/>
          <w:szCs w:val="20"/>
        </w:rPr>
        <w:t>(1), 52-60. doi:</w:t>
      </w:r>
      <w:hyperlink r:id="rId12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10.1177/1558866121995138</w:t>
        </w:r>
      </w:hyperlink>
    </w:p>
    <w:p w14:paraId="565C99C9" w14:textId="754192B1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B41BF4">
        <w:rPr>
          <w:rFonts w:asciiTheme="minorHAnsi" w:hAnsiTheme="minorHAnsi" w:cstheme="minorHAnsi"/>
          <w:sz w:val="20"/>
          <w:szCs w:val="20"/>
        </w:rPr>
        <w:t>Woolliams</w:t>
      </w:r>
      <w:proofErr w:type="spellEnd"/>
      <w:r w:rsidRPr="00B41BF4">
        <w:rPr>
          <w:rFonts w:asciiTheme="minorHAnsi" w:hAnsiTheme="minorHAnsi" w:cstheme="minorHAnsi"/>
          <w:sz w:val="20"/>
          <w:szCs w:val="20"/>
        </w:rPr>
        <w:t xml:space="preserve">, D., Spencer, K., Walters, S., &amp; </w:t>
      </w:r>
      <w:proofErr w:type="spellStart"/>
      <w:r w:rsidRPr="00B41BF4">
        <w:rPr>
          <w:rFonts w:asciiTheme="minorHAnsi" w:hAnsiTheme="minorHAnsi" w:cstheme="minorHAnsi"/>
          <w:sz w:val="20"/>
          <w:szCs w:val="20"/>
        </w:rPr>
        <w:t>Krägeloh</w:t>
      </w:r>
      <w:proofErr w:type="spellEnd"/>
      <w:r w:rsidRPr="00B41BF4">
        <w:rPr>
          <w:rFonts w:asciiTheme="minorHAnsi" w:hAnsiTheme="minorHAnsi" w:cstheme="minorHAnsi"/>
          <w:sz w:val="20"/>
          <w:szCs w:val="20"/>
        </w:rPr>
        <w:t xml:space="preserve">, C. (2021). Resolving uncertainties of the factor structures of the Coach-Athlete Relationship Questionnaire (CART-Q).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Australian Journal of Psychology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73</w:t>
      </w:r>
      <w:r w:rsidRPr="00B41BF4">
        <w:rPr>
          <w:rFonts w:asciiTheme="minorHAnsi" w:hAnsiTheme="minorHAnsi" w:cstheme="minorHAnsi"/>
          <w:sz w:val="20"/>
          <w:szCs w:val="20"/>
        </w:rPr>
        <w:t>(2), 212-222. doi:</w:t>
      </w:r>
      <w:hyperlink r:id="rId13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10.1080/00049530.2021.1882275</w:t>
        </w:r>
      </w:hyperlink>
    </w:p>
    <w:p w14:paraId="398492F4" w14:textId="4B4E524C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Salmon, D. M., Romanchuk, J., Sullivan, S. J., Walters, S., Clacy, A., Register-Mihalik, J. K., . . . Keung, S. (2021). Concussion knowledge, attitude and reporting intention in rugby coaches and high school rugby players.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&amp; Coaching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Pr="00B41BF4">
        <w:rPr>
          <w:rFonts w:asciiTheme="minorHAnsi" w:hAnsiTheme="minorHAnsi" w:cstheme="minorHAnsi"/>
          <w:sz w:val="20"/>
          <w:szCs w:val="20"/>
        </w:rPr>
        <w:t>(1), 54-69. doi:</w:t>
      </w:r>
      <w:hyperlink r:id="rId14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10.1177/1747954120961200</w:t>
        </w:r>
      </w:hyperlink>
    </w:p>
    <w:p w14:paraId="2E0679CD" w14:textId="7D52781F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B41BF4">
        <w:rPr>
          <w:rFonts w:asciiTheme="minorHAnsi" w:hAnsiTheme="minorHAnsi" w:cstheme="minorHAnsi"/>
          <w:sz w:val="20"/>
          <w:szCs w:val="20"/>
        </w:rPr>
        <w:t>Tomsovsky</w:t>
      </w:r>
      <w:proofErr w:type="spellEnd"/>
      <w:r w:rsidRPr="00B41BF4">
        <w:rPr>
          <w:rFonts w:asciiTheme="minorHAnsi" w:hAnsiTheme="minorHAnsi" w:cstheme="minorHAnsi"/>
          <w:sz w:val="20"/>
          <w:szCs w:val="20"/>
        </w:rPr>
        <w:t xml:space="preserve">, L., Reid, D., Whatman, C., Fulcher, M., &amp; Walters, S. (2020). Futsal FastStart: The development of a futsal specific warm-up.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New Zealand Journal of Sports Medicine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47</w:t>
      </w:r>
      <w:r w:rsidRPr="00B41BF4">
        <w:rPr>
          <w:rFonts w:asciiTheme="minorHAnsi" w:hAnsiTheme="minorHAnsi" w:cstheme="minorHAnsi"/>
          <w:sz w:val="20"/>
          <w:szCs w:val="20"/>
        </w:rPr>
        <w:t>(1), 15-19.</w:t>
      </w:r>
    </w:p>
    <w:p w14:paraId="497B7B2C" w14:textId="0543B8A7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Lees, A. B., Walters, S., &amp; Godbold, R. (2021). Variation in ethics review for tertiary-based educational research: An international and interdisciplinary cross-sectional review.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Journal of Academic Ethics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19</w:t>
      </w:r>
      <w:r w:rsidRPr="00B41BF4">
        <w:rPr>
          <w:rFonts w:asciiTheme="minorHAnsi" w:hAnsiTheme="minorHAnsi" w:cstheme="minorHAnsi"/>
          <w:sz w:val="20"/>
          <w:szCs w:val="20"/>
        </w:rPr>
        <w:t>, 517-540. doi:</w:t>
      </w:r>
      <w:hyperlink r:id="rId15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10.1007/s10805-020-09382-1</w:t>
        </w:r>
      </w:hyperlink>
    </w:p>
    <w:p w14:paraId="7FD0D838" w14:textId="77777777" w:rsidR="00C65912" w:rsidRPr="00C65912" w:rsidRDefault="00B41BF4" w:rsidP="00410F78">
      <w:pPr>
        <w:pStyle w:val="apa6"/>
        <w:numPr>
          <w:ilvl w:val="0"/>
          <w:numId w:val="3"/>
        </w:numPr>
        <w:spacing w:after="0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C65912">
        <w:rPr>
          <w:rFonts w:asciiTheme="minorHAnsi" w:hAnsiTheme="minorHAnsi" w:cstheme="minorHAnsi"/>
          <w:sz w:val="20"/>
          <w:szCs w:val="20"/>
        </w:rPr>
        <w:t>Reid, D., Hume, P., Whatman, C., Theadom, A., Walters, S., Hardaker, N., &amp; Fulcher, M. (2020). Knowledge, attitudes, and behaviours of New Zealand</w:t>
      </w:r>
      <w:r w:rsidR="009F4A5E" w:rsidRPr="00C65912">
        <w:rPr>
          <w:rFonts w:asciiTheme="minorHAnsi" w:hAnsiTheme="minorHAnsi" w:cstheme="minorHAnsi"/>
          <w:sz w:val="20"/>
          <w:szCs w:val="20"/>
        </w:rPr>
        <w:t xml:space="preserve"> </w:t>
      </w:r>
      <w:r w:rsidRPr="00C65912">
        <w:rPr>
          <w:rFonts w:asciiTheme="minorHAnsi" w:hAnsiTheme="minorHAnsi" w:cstheme="minorHAnsi"/>
          <w:sz w:val="20"/>
          <w:szCs w:val="20"/>
        </w:rPr>
        <w:t xml:space="preserve">physiotherapists  to sports-related concussion. </w:t>
      </w:r>
      <w:r w:rsidRPr="00C65912">
        <w:rPr>
          <w:rFonts w:asciiTheme="minorHAnsi" w:hAnsiTheme="minorHAnsi" w:cstheme="minorHAnsi"/>
          <w:i/>
          <w:iCs/>
          <w:sz w:val="20"/>
          <w:szCs w:val="20"/>
        </w:rPr>
        <w:t>New Zealand Journal of Physiotherapy</w:t>
      </w:r>
      <w:r w:rsidRPr="00C65912">
        <w:rPr>
          <w:rFonts w:asciiTheme="minorHAnsi" w:hAnsiTheme="minorHAnsi" w:cstheme="minorHAnsi"/>
          <w:sz w:val="20"/>
          <w:szCs w:val="20"/>
        </w:rPr>
        <w:t xml:space="preserve">, </w:t>
      </w:r>
      <w:r w:rsidRPr="00C65912">
        <w:rPr>
          <w:rFonts w:asciiTheme="minorHAnsi" w:hAnsiTheme="minorHAnsi" w:cstheme="minorHAnsi"/>
          <w:i/>
          <w:iCs/>
          <w:sz w:val="20"/>
          <w:szCs w:val="20"/>
        </w:rPr>
        <w:t>48</w:t>
      </w:r>
      <w:r w:rsidRPr="00C65912">
        <w:rPr>
          <w:rFonts w:asciiTheme="minorHAnsi" w:hAnsiTheme="minorHAnsi" w:cstheme="minorHAnsi"/>
          <w:sz w:val="20"/>
          <w:szCs w:val="20"/>
        </w:rPr>
        <w:t xml:space="preserve">(1), 19-28. </w:t>
      </w:r>
      <w:proofErr w:type="spellStart"/>
      <w:r w:rsidRPr="00C65912">
        <w:rPr>
          <w:rFonts w:asciiTheme="minorHAnsi" w:hAnsiTheme="minorHAnsi" w:cstheme="minorHAnsi"/>
          <w:sz w:val="20"/>
          <w:szCs w:val="20"/>
        </w:rPr>
        <w:t>doi:</w:t>
      </w:r>
      <w:hyperlink r:id="rId16" w:history="1">
        <w:r w:rsidRPr="00C65912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10.15619</w:t>
        </w:r>
        <w:proofErr w:type="spellEnd"/>
        <w:r w:rsidRPr="00C65912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/</w:t>
        </w:r>
        <w:proofErr w:type="spellStart"/>
        <w:r w:rsidRPr="00C65912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NZJP</w:t>
        </w:r>
        <w:proofErr w:type="spellEnd"/>
        <w:r w:rsidRPr="00C65912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/48.1.03</w:t>
        </w:r>
      </w:hyperlink>
    </w:p>
    <w:p w14:paraId="76D8D865" w14:textId="281C1796" w:rsidR="00B41BF4" w:rsidRPr="00C65912" w:rsidRDefault="00C65912" w:rsidP="00410F78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213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E2451F" wp14:editId="1948A859">
                <wp:simplePos x="0" y="0"/>
                <wp:positionH relativeFrom="margin">
                  <wp:posOffset>5142865</wp:posOffset>
                </wp:positionH>
                <wp:positionV relativeFrom="margin">
                  <wp:posOffset>7651115</wp:posOffset>
                </wp:positionV>
                <wp:extent cx="2084070" cy="2087880"/>
                <wp:effectExtent l="19050" t="19050" r="11430" b="26670"/>
                <wp:wrapSquare wrapText="bothSides"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2087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42C600" w14:textId="2AEE0481" w:rsidR="00A16B88" w:rsidRDefault="008405EF" w:rsidP="008405E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F8FC0" wp14:editId="193E370A">
                                  <wp:extent cx="1025718" cy="727792"/>
                                  <wp:effectExtent l="0" t="0" r="3175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64" cy="72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CAA14A" w14:textId="77777777" w:rsidR="008405EF" w:rsidRDefault="008405EF" w:rsidP="00A16B8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0C656779" w14:textId="2334F3C1" w:rsidR="00A16B88" w:rsidRPr="00C65912" w:rsidRDefault="008405EF" w:rsidP="00C65912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Associate Professor Simon Walters</w:t>
                            </w:r>
                            <w:r w:rsidR="00A16B88"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A16B88" w:rsidRPr="00C65912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Sports Performance Research Institute New Zealand</w:t>
                            </w:r>
                            <w:r w:rsidRPr="00C65912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6B88" w:rsidRPr="00C65912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Auckland University of Technology</w:t>
                            </w:r>
                            <w:r w:rsidR="00A16B88" w:rsidRPr="00C65912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A16B88"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simon.walters</w:t>
                            </w:r>
                            <w:r w:rsidR="00A16B88"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@aut.ac.nz</w:t>
                            </w:r>
                            <w:r w:rsidR="00A16B88" w:rsidRPr="00C6591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C65912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070C0"/>
                                <w:sz w:val="20"/>
                                <w:szCs w:val="20"/>
                                <w:lang w:eastAsia="en-NZ"/>
                              </w:rPr>
                              <w:t>LinkedIn: simon-waltersAU</w:t>
                            </w:r>
                            <w:r w:rsidR="00C65912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070C0"/>
                                <w:sz w:val="20"/>
                                <w:szCs w:val="20"/>
                                <w:lang w:eastAsia="en-NZ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451F" id="Double Bracket 4" o:spid="_x0000_s1028" type="#_x0000_t185" style="position:absolute;left:0;text-align:left;margin-left:404.95pt;margin-top:602.45pt;width:164.1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5C42C600" w14:textId="2AEE0481" w:rsidR="00A16B88" w:rsidRDefault="008405EF" w:rsidP="008405EF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2F8FC0" wp14:editId="193E370A">
                            <wp:extent cx="1025718" cy="727792"/>
                            <wp:effectExtent l="0" t="0" r="3175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64" cy="72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CAA14A" w14:textId="77777777" w:rsidR="008405EF" w:rsidRDefault="008405EF" w:rsidP="00A16B88">
                      <w:pPr>
                        <w:jc w:val="center"/>
                        <w:rPr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</w:p>
                    <w:p w14:paraId="0C656779" w14:textId="2334F3C1" w:rsidR="00A16B88" w:rsidRPr="00C65912" w:rsidRDefault="008405EF" w:rsidP="00C65912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Associate Professor Simon Walters</w:t>
                      </w:r>
                      <w:r w:rsidR="00A16B88"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br/>
                      </w:r>
                      <w:r w:rsidR="00A16B88" w:rsidRPr="00C65912">
                        <w:rPr>
                          <w:bCs/>
                          <w:color w:val="0070C0"/>
                          <w:sz w:val="20"/>
                          <w:szCs w:val="20"/>
                        </w:rPr>
                        <w:t>Sports Performance Research Institute New Zealand</w:t>
                      </w:r>
                      <w:r w:rsidRPr="00C65912">
                        <w:rPr>
                          <w:bCs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r w:rsidR="00A16B88" w:rsidRPr="00C65912">
                        <w:rPr>
                          <w:bCs/>
                          <w:color w:val="0070C0"/>
                          <w:sz w:val="20"/>
                          <w:szCs w:val="20"/>
                        </w:rPr>
                        <w:t>Auckland University of Technology</w:t>
                      </w:r>
                      <w:r w:rsidR="00A16B88" w:rsidRPr="00C65912">
                        <w:rPr>
                          <w:bCs/>
                          <w:color w:val="0070C0"/>
                          <w:sz w:val="20"/>
                          <w:szCs w:val="20"/>
                        </w:rPr>
                        <w:br/>
                      </w:r>
                      <w:r w:rsidR="00A16B88"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E: </w:t>
                      </w:r>
                      <w:r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simon.walters</w:t>
                      </w:r>
                      <w:r w:rsidR="00A16B88"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@aut.ac.nz</w:t>
                      </w:r>
                      <w:r w:rsidR="00A16B88" w:rsidRPr="00C6591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C65912">
                        <w:rPr>
                          <w:rFonts w:eastAsiaTheme="minorEastAsia"/>
                          <w:b/>
                          <w:bCs/>
                          <w:noProof/>
                          <w:color w:val="0070C0"/>
                          <w:sz w:val="20"/>
                          <w:szCs w:val="20"/>
                          <w:lang w:eastAsia="en-NZ"/>
                        </w:rPr>
                        <w:t>LinkedIn: simon-waltersAU</w:t>
                      </w:r>
                      <w:r w:rsidR="00C65912">
                        <w:rPr>
                          <w:rFonts w:eastAsiaTheme="minorEastAsia"/>
                          <w:b/>
                          <w:bCs/>
                          <w:noProof/>
                          <w:color w:val="0070C0"/>
                          <w:sz w:val="20"/>
                          <w:szCs w:val="20"/>
                          <w:lang w:eastAsia="en-NZ"/>
                        </w:rPr>
                        <w:t>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1BF4" w:rsidRPr="00C65912">
        <w:rPr>
          <w:rFonts w:asciiTheme="minorHAnsi" w:hAnsiTheme="minorHAnsi" w:cstheme="minorHAnsi"/>
          <w:sz w:val="20"/>
          <w:szCs w:val="20"/>
        </w:rPr>
        <w:t>Salmon, D. M., Mc</w:t>
      </w:r>
      <w:r>
        <w:rPr>
          <w:rFonts w:asciiTheme="minorHAnsi" w:hAnsiTheme="minorHAnsi" w:cstheme="minorHAnsi"/>
          <w:sz w:val="20"/>
          <w:szCs w:val="20"/>
        </w:rPr>
        <w:t>G</w:t>
      </w:r>
      <w:r w:rsidR="00B41BF4" w:rsidRPr="00C65912">
        <w:rPr>
          <w:rFonts w:asciiTheme="minorHAnsi" w:hAnsiTheme="minorHAnsi" w:cstheme="minorHAnsi"/>
          <w:sz w:val="20"/>
          <w:szCs w:val="20"/>
        </w:rPr>
        <w:t xml:space="preserve">owan, J., Sullivan, S. J., Murphy, I., Walters, S., Whatman, C., . . . Romanchuk, J. (2020). What they know and who they are telling: Concussion knowledge and disclosure behaviour in New Zealand adolescent rugby union players. </w:t>
      </w:r>
      <w:r w:rsidR="00B41BF4" w:rsidRPr="00C65912">
        <w:rPr>
          <w:rFonts w:asciiTheme="minorHAnsi" w:hAnsiTheme="minorHAnsi" w:cstheme="minorHAnsi"/>
          <w:i/>
          <w:iCs/>
          <w:sz w:val="20"/>
          <w:szCs w:val="20"/>
        </w:rPr>
        <w:t>Journal of Sports Sciences</w:t>
      </w:r>
      <w:r w:rsidR="00B41BF4" w:rsidRPr="00C65912">
        <w:rPr>
          <w:rFonts w:asciiTheme="minorHAnsi" w:hAnsiTheme="minorHAnsi" w:cstheme="minorHAnsi"/>
          <w:sz w:val="20"/>
          <w:szCs w:val="20"/>
        </w:rPr>
        <w:t xml:space="preserve">, </w:t>
      </w:r>
      <w:r w:rsidR="00B41BF4" w:rsidRPr="00C65912">
        <w:rPr>
          <w:rFonts w:asciiTheme="minorHAnsi" w:hAnsiTheme="minorHAnsi" w:cstheme="minorHAnsi"/>
          <w:i/>
          <w:iCs/>
          <w:sz w:val="20"/>
          <w:szCs w:val="20"/>
        </w:rPr>
        <w:t>38</w:t>
      </w:r>
      <w:r w:rsidR="00B41BF4" w:rsidRPr="00C65912">
        <w:rPr>
          <w:rFonts w:asciiTheme="minorHAnsi" w:hAnsiTheme="minorHAnsi" w:cstheme="minorHAnsi"/>
          <w:sz w:val="20"/>
          <w:szCs w:val="20"/>
        </w:rPr>
        <w:t>(14), 1585-1594. doi:</w:t>
      </w:r>
      <w:hyperlink r:id="rId18" w:history="1">
        <w:r w:rsidR="00B41BF4" w:rsidRPr="00C65912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10.1080/02640414.2020.1749409</w:t>
        </w:r>
      </w:hyperlink>
    </w:p>
    <w:p w14:paraId="77F29F50" w14:textId="77777777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Walters, S., Rogers, A., &amp; Oldham, A. (2020). A competency-based approach to coach learning: The Sport New Zealand Coach Developer program. In B. Callary, &amp; B. Gearity (Eds.),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Coach education and development in sport: Instructional strategies</w:t>
      </w:r>
      <w:r w:rsidRPr="00B41BF4">
        <w:rPr>
          <w:rFonts w:asciiTheme="minorHAnsi" w:hAnsiTheme="minorHAnsi" w:cstheme="minorHAnsi"/>
          <w:sz w:val="20"/>
          <w:szCs w:val="20"/>
        </w:rPr>
        <w:t xml:space="preserve"> (pp. 154-165). New York, NY: Routledge.</w:t>
      </w:r>
    </w:p>
    <w:p w14:paraId="13C6630B" w14:textId="77777777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McGowan, J., Whatman, C., &amp; Walters, S. (2020). The associations of early specialisation and sport volume with musculoskeletal injury in New Zealand children.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Journal of Science and Medicine in Sport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23</w:t>
      </w:r>
      <w:r w:rsidRPr="00B41BF4">
        <w:rPr>
          <w:rFonts w:asciiTheme="minorHAnsi" w:hAnsiTheme="minorHAnsi" w:cstheme="minorHAnsi"/>
          <w:sz w:val="20"/>
          <w:szCs w:val="20"/>
        </w:rPr>
        <w:t>(2), 139-144. doi:</w:t>
      </w:r>
      <w:hyperlink r:id="rId19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10.1016/j.jsams.2019.09.002</w:t>
        </w:r>
      </w:hyperlink>
    </w:p>
    <w:p w14:paraId="3CD259B0" w14:textId="77777777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lastRenderedPageBreak/>
        <w:t xml:space="preserve">Salmon, D., Sullivan, J., Romanchuk, J., Murphy, I., Walters, S., Whatman, C., . . . Van Der Vis, K. (2020). Infographic. New Zealand rugby's community concussion initiative: Keeping kiwi communities RugbySmart.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British Journal of Sports Medicine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54</w:t>
      </w:r>
      <w:r w:rsidRPr="00B41BF4">
        <w:rPr>
          <w:rFonts w:asciiTheme="minorHAnsi" w:hAnsiTheme="minorHAnsi" w:cstheme="minorHAnsi"/>
          <w:sz w:val="20"/>
          <w:szCs w:val="20"/>
        </w:rPr>
        <w:t>(5), 300-301. doi:</w:t>
      </w:r>
      <w:hyperlink r:id="rId20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10.1136/bjsports-2019-100949</w:t>
        </w:r>
      </w:hyperlink>
    </w:p>
    <w:p w14:paraId="6CC793B8" w14:textId="77777777" w:rsidR="00B41BF4" w:rsidRPr="00B41BF4" w:rsidRDefault="00B41BF4" w:rsidP="00C65912">
      <w:pPr>
        <w:pStyle w:val="apa6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41BF4">
        <w:rPr>
          <w:rFonts w:asciiTheme="minorHAnsi" w:hAnsiTheme="minorHAnsi" w:cstheme="minorHAnsi"/>
          <w:sz w:val="20"/>
          <w:szCs w:val="20"/>
        </w:rPr>
        <w:t xml:space="preserve">Salmon, D., Romanchuk, J., Murphy, I., Sullivan, J., Walters, S., Whatman, C., . . . Van Der Vis, K. (2020). Infographic. New Zealand Rugby's concussion management pathway.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British Journal of Sports Medicine</w:t>
      </w:r>
      <w:r w:rsidRPr="00B41BF4">
        <w:rPr>
          <w:rFonts w:asciiTheme="minorHAnsi" w:hAnsiTheme="minorHAnsi" w:cstheme="minorHAnsi"/>
          <w:sz w:val="20"/>
          <w:szCs w:val="20"/>
        </w:rPr>
        <w:t xml:space="preserve">, </w:t>
      </w:r>
      <w:r w:rsidRPr="00B41BF4">
        <w:rPr>
          <w:rFonts w:asciiTheme="minorHAnsi" w:hAnsiTheme="minorHAnsi" w:cstheme="minorHAnsi"/>
          <w:i/>
          <w:iCs/>
          <w:sz w:val="20"/>
          <w:szCs w:val="20"/>
        </w:rPr>
        <w:t>54</w:t>
      </w:r>
      <w:r w:rsidRPr="00B41BF4">
        <w:rPr>
          <w:rFonts w:asciiTheme="minorHAnsi" w:hAnsiTheme="minorHAnsi" w:cstheme="minorHAnsi"/>
          <w:sz w:val="20"/>
          <w:szCs w:val="20"/>
        </w:rPr>
        <w:t>(5), 298-299. doi:</w:t>
      </w:r>
      <w:hyperlink r:id="rId21" w:history="1">
        <w:r w:rsidRPr="00B41BF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10.1136/bjsports-2019-100950</w:t>
        </w:r>
      </w:hyperlink>
    </w:p>
    <w:p w14:paraId="686B826C" w14:textId="7F060552" w:rsidR="00364200" w:rsidRPr="00A16B88" w:rsidRDefault="00364200" w:rsidP="00A16B88">
      <w:pPr>
        <w:tabs>
          <w:tab w:val="left" w:pos="471"/>
          <w:tab w:val="left" w:pos="472"/>
        </w:tabs>
        <w:spacing w:before="1"/>
        <w:ind w:left="112"/>
        <w:rPr>
          <w:rFonts w:ascii="Times New Roman"/>
          <w:sz w:val="24"/>
        </w:rPr>
      </w:pPr>
    </w:p>
    <w:sectPr w:rsidR="00364200" w:rsidRPr="00A16B88" w:rsidSect="00C65912">
      <w:type w:val="continuous"/>
      <w:pgSz w:w="11910" w:h="16840"/>
      <w:pgMar w:top="567" w:right="318" w:bottom="278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088"/>
    <w:multiLevelType w:val="hybridMultilevel"/>
    <w:tmpl w:val="19343530"/>
    <w:lvl w:ilvl="0" w:tplc="E382AF7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0B82B98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1214CF6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C72D86E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71BCBB80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965A78F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6838A380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F9C4744A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A54E50EE"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096253"/>
    <w:multiLevelType w:val="hybridMultilevel"/>
    <w:tmpl w:val="A70630F8"/>
    <w:lvl w:ilvl="0" w:tplc="E382AF7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542C"/>
    <w:multiLevelType w:val="multilevel"/>
    <w:tmpl w:val="D4E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200"/>
    <w:rsid w:val="002068DF"/>
    <w:rsid w:val="002E08D6"/>
    <w:rsid w:val="00322AFD"/>
    <w:rsid w:val="00364200"/>
    <w:rsid w:val="004E6745"/>
    <w:rsid w:val="00614224"/>
    <w:rsid w:val="00632597"/>
    <w:rsid w:val="006D4A59"/>
    <w:rsid w:val="007159F0"/>
    <w:rsid w:val="007B616B"/>
    <w:rsid w:val="008405EF"/>
    <w:rsid w:val="00870E12"/>
    <w:rsid w:val="008A74C5"/>
    <w:rsid w:val="008E5BFA"/>
    <w:rsid w:val="00935AE1"/>
    <w:rsid w:val="009F4A5E"/>
    <w:rsid w:val="00A16B88"/>
    <w:rsid w:val="00A82DBF"/>
    <w:rsid w:val="00B41BF4"/>
    <w:rsid w:val="00B509DC"/>
    <w:rsid w:val="00B941DD"/>
    <w:rsid w:val="00C209B8"/>
    <w:rsid w:val="00C213FD"/>
    <w:rsid w:val="00C65912"/>
    <w:rsid w:val="00CE7738"/>
    <w:rsid w:val="00D2313A"/>
    <w:rsid w:val="00EA0CD0"/>
    <w:rsid w:val="00F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4D69B"/>
  <w15:docId w15:val="{B94D3F95-DB6F-4C56-A7A6-CF331B0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11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4"/>
      <w:ind w:left="1965" w:right="63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right="1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4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22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7B616B"/>
    <w:rPr>
      <w:rFonts w:ascii="Calibri" w:eastAsia="Calibri" w:hAnsi="Calibri" w:cs="Calibr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A0CD0"/>
    <w:rPr>
      <w:i/>
      <w:iCs/>
    </w:rPr>
  </w:style>
  <w:style w:type="paragraph" w:customStyle="1" w:styleId="apa6">
    <w:name w:val="apa6"/>
    <w:basedOn w:val="Normal"/>
    <w:uiPriority w:val="99"/>
    <w:rsid w:val="00B41BF4"/>
    <w:pPr>
      <w:keepLines/>
      <w:widowControl/>
      <w:adjustRightInd w:val="0"/>
      <w:spacing w:after="160"/>
      <w:ind w:left="720" w:hanging="720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i.org/10.1080/00049530.2021.1882275" TargetMode="External"/><Relationship Id="rId18" Type="http://schemas.openxmlformats.org/officeDocument/2006/relationships/hyperlink" Target="http://doi.org/10.1080/02640414.2020.17494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i.org/10.1136/bjsports-2019-10095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oi.org/10.1177/1558866121995138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doi.org/10.15619/NZJP/48.1.03" TargetMode="External"/><Relationship Id="rId20" Type="http://schemas.openxmlformats.org/officeDocument/2006/relationships/hyperlink" Target="http://doi.org/10.1136/bjsports-2019-1009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i.org/10.1080/23750472.2021.1918018" TargetMode="External"/><Relationship Id="rId5" Type="http://schemas.openxmlformats.org/officeDocument/2006/relationships/styles" Target="styles.xml"/><Relationship Id="rId15" Type="http://schemas.openxmlformats.org/officeDocument/2006/relationships/hyperlink" Target="http://doi.org/10.1007/s10805-020-09382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i.org/10.1080/02699052.2021.1972452" TargetMode="External"/><Relationship Id="rId19" Type="http://schemas.openxmlformats.org/officeDocument/2006/relationships/hyperlink" Target="http://doi.org/10.1016/j.jsams.2019.09.0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oi.org/10.1177/17479541211047661" TargetMode="External"/><Relationship Id="rId14" Type="http://schemas.openxmlformats.org/officeDocument/2006/relationships/hyperlink" Target="http://doi.org/10.1177/17479541209612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3AAE2-442E-4C33-ACEB-5E42AC0F5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2C81-AA87-4E87-89ED-3A62CFD5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1ba7a-85d0-49de-9303-12106900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9D396-8DB2-4F90-8AA1-86FEC60A8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Victor Lopez Jr, Founder &amp; Executive Director, Rugby Research and Injury Prevention Group, Hospital for Special Surgery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Victor Lopez Jr, Founder &amp; Executive Director, Rugby Research and Injury Prevention Group, Hospital for Special Surgery</dc:title>
  <dc:creator>Dr Victor Lopez Jr</dc:creator>
  <cp:lastModifiedBy>Patria Hume</cp:lastModifiedBy>
  <cp:revision>4</cp:revision>
  <dcterms:created xsi:type="dcterms:W3CDTF">2021-12-01T21:40:00Z</dcterms:created>
  <dcterms:modified xsi:type="dcterms:W3CDTF">2022-03-30T04:53:00Z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0x01010080F66A868263D14182E3B99603F681CC</vt:lpwstr>
  </property>
</Properties>
</file>