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3146" w:right="3123" w:firstLine="0"/>
        <w:jc w:val="center"/>
        <w:rPr>
          <w:b/>
          <w:sz w:val="24"/>
        </w:rPr>
      </w:pPr>
      <w:r>
        <w:rPr/>
        <w:pict>
          <v:group style="position:absolute;margin-left:33.703899pt;margin-top:.09576pt;width:525.6pt;height:169pt;mso-position-horizontal-relative:page;mso-position-vertical-relative:paragraph;z-index:-15777280" id="docshapegroup1" coordorigin="674,2" coordsize="10512,3380">
            <v:rect style="position:absolute;left:722;top:1;width:10464;height:456" id="docshape2" filled="true" fillcolor="#5b9bd5" stroked="false">
              <v:fill type="solid"/>
            </v:rect>
            <v:shape style="position:absolute;left:705;top:426;width:6639;height:1076" id="docshape3" coordorigin="705,427" coordsize="6639,1076" path="m796,427l762,433,733,452,713,479,705,513,705,1416,713,1449,733,1477,762,1495,796,1502m7252,427l7287,433,7316,452,7336,479,7344,513,7344,1416,7336,1449,7316,1477,7287,1495,7252,1502e" filled="false" stroked="true" strokeweight="3.12pt" strokecolor="#0070c0">
              <v:path arrowok="t"/>
              <v:stroke dashstyle="solid"/>
            </v:shape>
            <v:rect style="position:absolute;left:803;top:1326;width:6437;height:20" id="docshape4" filled="true" fillcolor="#ffffff" stroked="false">
              <v:fill type="solid"/>
            </v:rect>
            <v:shape style="position:absolute;left:8034;top:474;width:3010;height:2876" id="docshape5" coordorigin="8035,475" coordsize="3010,2876" path="m8265,475l8193,486,8130,518,8080,568,8047,631,8035,705,8035,3115,8047,3189,8080,3253,8130,3304,8193,3338,8265,3350m10814,475l10888,486,10951,518,11001,568,11033,631,11044,705,11044,3115,11033,3189,11001,3253,10951,3304,10888,3338,10814,3350e" filled="false" stroked="true" strokeweight="3.12pt" strokecolor="#0070c0">
              <v:path arrowok="t"/>
              <v:stroke dashstyle="solid"/>
            </v:shape>
            <v:shape style="position:absolute;left:8200;top:856;width:2684;height:2324" type="#_x0000_t75" id="docshape6" stroked="false">
              <v:imagedata r:id="rId5" o:title=""/>
            </v:shape>
            <v:rect style="position:absolute;left:8171;top:635;width:2736;height:20" id="docshape7" filled="true" fillcolor="#ffffff" stroked="false">
              <v:fill type="solid"/>
            </v:rect>
            <w10:wrap type="none"/>
          </v:group>
        </w:pict>
      </w:r>
      <w:r>
        <w:rPr>
          <w:b/>
          <w:color w:val="FFFFFF"/>
          <w:sz w:val="24"/>
        </w:rPr>
        <w:t>RUGBY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CODES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RESEARCH</w:t>
      </w:r>
      <w:r>
        <w:rPr>
          <w:b/>
          <w:color w:val="FFFFFF"/>
          <w:spacing w:val="-1"/>
          <w:sz w:val="24"/>
        </w:rPr>
        <w:t> </w:t>
      </w:r>
      <w:r>
        <w:rPr>
          <w:b/>
          <w:color w:val="FFFFFF"/>
          <w:sz w:val="24"/>
        </w:rPr>
        <w:t>GROUP</w:t>
      </w:r>
      <w:r>
        <w:rPr>
          <w:b/>
          <w:color w:val="FFFFFF"/>
          <w:spacing w:val="-2"/>
          <w:sz w:val="24"/>
        </w:rPr>
        <w:t> </w:t>
      </w:r>
      <w:r>
        <w:rPr>
          <w:b/>
          <w:color w:val="FFFFFF"/>
          <w:sz w:val="24"/>
        </w:rPr>
        <w:t>– MEMBER</w:t>
      </w:r>
    </w:p>
    <w:p>
      <w:pPr>
        <w:pStyle w:val="Title"/>
        <w:spacing w:line="249" w:lineRule="auto"/>
      </w:pPr>
      <w:r>
        <w:rPr/>
        <w:t>Edmond</w:t>
      </w:r>
      <w:r>
        <w:rPr>
          <w:spacing w:val="35"/>
        </w:rPr>
        <w:t> </w:t>
      </w:r>
      <w:r>
        <w:rPr/>
        <w:t>Sorich</w:t>
      </w:r>
      <w:r>
        <w:rPr>
          <w:spacing w:val="-67"/>
        </w:rPr>
        <w:t> </w:t>
      </w:r>
      <w:r>
        <w:rPr/>
        <w:t>BSc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06"/>
        <w:ind w:left="162" w:right="0" w:firstLine="0"/>
        <w:jc w:val="left"/>
        <w:rPr>
          <w:sz w:val="19"/>
        </w:rPr>
      </w:pPr>
      <w:r>
        <w:rPr>
          <w:b/>
          <w:color w:val="0070C0"/>
          <w:w w:val="105"/>
          <w:sz w:val="19"/>
        </w:rPr>
        <w:t>Research</w:t>
      </w:r>
      <w:r>
        <w:rPr>
          <w:b/>
          <w:color w:val="0070C0"/>
          <w:spacing w:val="-2"/>
          <w:w w:val="105"/>
          <w:sz w:val="19"/>
        </w:rPr>
        <w:t> </w:t>
      </w:r>
      <w:r>
        <w:rPr>
          <w:b/>
          <w:color w:val="0070C0"/>
          <w:w w:val="105"/>
          <w:sz w:val="19"/>
        </w:rPr>
        <w:t>specialisation:</w:t>
      </w:r>
      <w:r>
        <w:rPr>
          <w:b/>
          <w:color w:val="0070C0"/>
          <w:spacing w:val="42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design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biomarker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analysis.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52" w:lineRule="auto"/>
        <w:ind w:left="162" w:right="3386"/>
      </w:pPr>
      <w:r>
        <w:rPr>
          <w:b/>
          <w:color w:val="0070C0"/>
          <w:w w:val="105"/>
        </w:rPr>
        <w:t>Experience: </w:t>
      </w:r>
      <w:r>
        <w:rPr>
          <w:w w:val="105"/>
        </w:rPr>
        <w:t>My area of expertise is exercise recovery and associated biomarkers. Most</w:t>
      </w:r>
      <w:r>
        <w:rPr>
          <w:spacing w:val="1"/>
          <w:w w:val="105"/>
        </w:rPr>
        <w:t> </w:t>
      </w:r>
      <w:r>
        <w:rPr>
          <w:w w:val="105"/>
        </w:rPr>
        <w:t>specifically, recovery and performance based markers. With years of experience gained</w:t>
      </w:r>
      <w:r>
        <w:rPr>
          <w:spacing w:val="-43"/>
          <w:w w:val="105"/>
        </w:rPr>
        <w:t> </w:t>
      </w:r>
      <w:r>
        <w:rPr>
          <w:w w:val="105"/>
        </w:rPr>
        <w:t>from participating at a representative level across sports and also mentoring</w:t>
      </w:r>
      <w:r>
        <w:rPr>
          <w:spacing w:val="1"/>
          <w:w w:val="105"/>
        </w:rPr>
        <w:t> </w:t>
      </w:r>
      <w:r>
        <w:rPr>
          <w:w w:val="105"/>
        </w:rPr>
        <w:t>sportspeople across a wide range of disciplines, I am able to adapt lab testing to</w:t>
      </w:r>
      <w:r>
        <w:rPr>
          <w:spacing w:val="1"/>
          <w:w w:val="105"/>
        </w:rPr>
        <w:t> </w:t>
      </w:r>
      <w:r>
        <w:rPr>
          <w:w w:val="105"/>
        </w:rPr>
        <w:t>maximise on-field</w:t>
      </w:r>
      <w:r>
        <w:rPr>
          <w:spacing w:val="2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254" w:lineRule="auto" w:before="1"/>
        <w:ind w:left="162" w:right="88"/>
      </w:pPr>
      <w:r>
        <w:rPr>
          <w:w w:val="105"/>
        </w:rPr>
        <w:t>Professionally, I am a qualified scientist with expertise in biochemistry. I have been involved in the medical science industry for</w:t>
      </w:r>
      <w:r>
        <w:rPr>
          <w:spacing w:val="1"/>
          <w:w w:val="105"/>
        </w:rPr>
        <w:t> </w:t>
      </w:r>
      <w:r>
        <w:rPr>
          <w:w w:val="105"/>
        </w:rPr>
        <w:t>over 30 years and have experience as a scientist and manager in diagnostic, research, specialised and integrative pathology and</w:t>
      </w:r>
      <w:r>
        <w:rPr>
          <w:spacing w:val="1"/>
          <w:w w:val="105"/>
        </w:rPr>
        <w:t> </w:t>
      </w:r>
      <w:r>
        <w:rPr>
          <w:w w:val="105"/>
        </w:rPr>
        <w:t>clinical trials. During this time, I have also been involved in the health industry for 18 years overseeing two successful health and</w:t>
      </w:r>
      <w:r>
        <w:rPr>
          <w:spacing w:val="-43"/>
          <w:w w:val="105"/>
        </w:rPr>
        <w:t> </w:t>
      </w:r>
      <w:r>
        <w:rPr>
          <w:w w:val="105"/>
        </w:rPr>
        <w:t>lifestyle businesses.</w:t>
      </w:r>
    </w:p>
    <w:p>
      <w:pPr>
        <w:pStyle w:val="BodyText"/>
        <w:spacing w:line="228" w:lineRule="exact"/>
        <w:ind w:left="162"/>
      </w:pP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2"/>
          <w:w w:val="105"/>
        </w:rPr>
        <w:t> </w:t>
      </w:r>
      <w:r>
        <w:rPr>
          <w:w w:val="105"/>
        </w:rPr>
        <w:t>led</w:t>
      </w:r>
      <w:r>
        <w:rPr>
          <w:spacing w:val="-1"/>
          <w:w w:val="105"/>
        </w:rPr>
        <w:t> </w:t>
      </w:r>
      <w:r>
        <w:rPr>
          <w:w w:val="105"/>
        </w:rPr>
        <w:t>me</w:t>
      </w:r>
      <w:r>
        <w:rPr>
          <w:spacing w:val="-2"/>
          <w:w w:val="105"/>
        </w:rPr>
        <w:t> </w:t>
      </w:r>
      <w:r>
        <w:rPr>
          <w:w w:val="105"/>
        </w:rPr>
        <w:t>directly</w:t>
      </w:r>
      <w:r>
        <w:rPr>
          <w:spacing w:val="-1"/>
          <w:w w:val="105"/>
        </w:rPr>
        <w:t> </w:t>
      </w:r>
      <w:r>
        <w:rPr>
          <w:w w:val="105"/>
        </w:rPr>
        <w:t>into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TBI</w:t>
      </w:r>
      <w:r>
        <w:rPr>
          <w:spacing w:val="-1"/>
          <w:w w:val="105"/>
        </w:rPr>
        <w:t> </w:t>
      </w:r>
      <w:r>
        <w:rPr>
          <w:w w:val="105"/>
        </w:rPr>
        <w:t>(chiefly</w:t>
      </w:r>
      <w:r>
        <w:rPr>
          <w:spacing w:val="-2"/>
          <w:w w:val="105"/>
        </w:rPr>
        <w:t> </w:t>
      </w:r>
      <w:r>
        <w:rPr>
          <w:w w:val="105"/>
        </w:rPr>
        <w:t>concussion)</w:t>
      </w:r>
      <w:r>
        <w:rPr>
          <w:spacing w:val="-1"/>
          <w:w w:val="105"/>
        </w:rPr>
        <w:t> </w:t>
      </w:r>
      <w:r>
        <w:rPr>
          <w:w w:val="105"/>
        </w:rPr>
        <w:t>space.</w:t>
      </w:r>
    </w:p>
    <w:p>
      <w:pPr>
        <w:pStyle w:val="BodyText"/>
        <w:spacing w:line="254" w:lineRule="auto" w:before="8"/>
        <w:ind w:left="162" w:right="88"/>
      </w:pPr>
      <w:r>
        <w:rPr>
          <w:w w:val="105"/>
        </w:rPr>
        <w:t>The last four years has seen me develop partnerships, collaborations and networks ranging both locally and internationally</w:t>
      </w:r>
      <w:r>
        <w:rPr>
          <w:spacing w:val="-43"/>
          <w:w w:val="105"/>
        </w:rPr>
        <w:t> </w:t>
      </w:r>
      <w:r>
        <w:rPr>
          <w:w w:val="105"/>
        </w:rPr>
        <w:t>ranging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clinicians, researchers, professional sporting</w:t>
      </w:r>
      <w:r>
        <w:rPr>
          <w:spacing w:val="-1"/>
          <w:w w:val="105"/>
        </w:rPr>
        <w:t> </w:t>
      </w:r>
      <w:r>
        <w:rPr>
          <w:w w:val="105"/>
        </w:rPr>
        <w:t>organisations and</w:t>
      </w:r>
      <w:r>
        <w:rPr>
          <w:spacing w:val="1"/>
          <w:w w:val="105"/>
        </w:rPr>
        <w:t> </w:t>
      </w:r>
      <w:r>
        <w:rPr>
          <w:w w:val="105"/>
        </w:rPr>
        <w:t>athletes across multiple</w:t>
      </w:r>
      <w:r>
        <w:rPr>
          <w:spacing w:val="1"/>
          <w:w w:val="105"/>
        </w:rPr>
        <w:t> </w:t>
      </w:r>
      <w:r>
        <w:rPr>
          <w:w w:val="105"/>
        </w:rPr>
        <w:t>codes.</w:t>
      </w:r>
    </w:p>
    <w:p>
      <w:pPr>
        <w:pStyle w:val="BodyText"/>
        <w:spacing w:line="254" w:lineRule="auto"/>
        <w:ind w:left="162" w:right="323"/>
        <w:jc w:val="both"/>
      </w:pPr>
      <w:r>
        <w:rPr>
          <w:w w:val="105"/>
        </w:rPr>
        <w:t>Most recently, Glia has completed a clinical trial involving a biomarker for TBI with plans for further and larger trials. These will</w:t>
      </w:r>
      <w:r>
        <w:rPr>
          <w:spacing w:val="-43"/>
          <w:w w:val="105"/>
        </w:rPr>
        <w:t> </w:t>
      </w:r>
      <w:r>
        <w:rPr>
          <w:w w:val="105"/>
        </w:rPr>
        <w:t>also include other modalities to help accelerate validation. Most excitingly, the biomarker shows real promise for 'quantifying'</w:t>
      </w:r>
      <w:r>
        <w:rPr>
          <w:spacing w:val="1"/>
          <w:w w:val="105"/>
        </w:rPr>
        <w:t> </w:t>
      </w:r>
      <w:r>
        <w:rPr>
          <w:w w:val="105"/>
        </w:rPr>
        <w:t>injury as well,</w:t>
      </w:r>
      <w:r>
        <w:rPr>
          <w:spacing w:val="1"/>
          <w:w w:val="105"/>
        </w:rPr>
        <w:t> </w:t>
      </w:r>
      <w:r>
        <w:rPr>
          <w:w w:val="105"/>
        </w:rPr>
        <w:t>hence providing</w:t>
      </w:r>
      <w:r>
        <w:rPr>
          <w:spacing w:val="1"/>
          <w:w w:val="105"/>
        </w:rPr>
        <w:t> </w:t>
      </w:r>
      <w:r>
        <w:rPr>
          <w:w w:val="105"/>
        </w:rPr>
        <w:t>a tool for return</w:t>
      </w:r>
      <w:r>
        <w:rPr>
          <w:spacing w:val="1"/>
          <w:w w:val="105"/>
        </w:rPr>
        <w:t> </w:t>
      </w:r>
      <w:r>
        <w:rPr>
          <w:w w:val="105"/>
        </w:rPr>
        <w:t>to play</w:t>
      </w:r>
      <w:r>
        <w:rPr>
          <w:spacing w:val="1"/>
          <w:w w:val="105"/>
        </w:rPr>
        <w:t> </w:t>
      </w:r>
      <w:r>
        <w:rPr>
          <w:w w:val="105"/>
        </w:rPr>
        <w:t>(RTP), work,</w:t>
      </w:r>
      <w:r>
        <w:rPr>
          <w:spacing w:val="1"/>
          <w:w w:val="105"/>
        </w:rPr>
        <w:t> </w:t>
      </w:r>
      <w:r>
        <w:rPr>
          <w:w w:val="105"/>
        </w:rPr>
        <w:t>battlefield, etc.</w:t>
      </w:r>
    </w:p>
    <w:p>
      <w:pPr>
        <w:pStyle w:val="BodyText"/>
        <w:spacing w:line="229" w:lineRule="exact"/>
        <w:ind w:left="162"/>
        <w:jc w:val="both"/>
      </w:pP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am</w:t>
      </w:r>
      <w:r>
        <w:rPr>
          <w:spacing w:val="-1"/>
          <w:w w:val="105"/>
        </w:rPr>
        <w:t> </w:t>
      </w:r>
      <w:r>
        <w:rPr>
          <w:w w:val="105"/>
        </w:rPr>
        <w:t>passionate</w:t>
      </w:r>
      <w:r>
        <w:rPr>
          <w:spacing w:val="-2"/>
          <w:w w:val="105"/>
        </w:rPr>
        <w:t> </w:t>
      </w:r>
      <w:r>
        <w:rPr>
          <w:w w:val="105"/>
        </w:rPr>
        <w:t>about</w:t>
      </w:r>
      <w:r>
        <w:rPr>
          <w:spacing w:val="-1"/>
          <w:w w:val="105"/>
        </w:rPr>
        <w:t> </w:t>
      </w:r>
      <w:r>
        <w:rPr>
          <w:w w:val="105"/>
        </w:rPr>
        <w:t>bridging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gap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1"/>
          <w:w w:val="105"/>
        </w:rPr>
        <w:t> </w:t>
      </w:r>
      <w:r>
        <w:rPr>
          <w:w w:val="105"/>
        </w:rPr>
        <w:t>clinician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patient.</w:t>
      </w: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line="252" w:lineRule="auto"/>
        <w:ind w:left="162" w:right="136"/>
        <w:jc w:val="both"/>
      </w:pPr>
      <w:r>
        <w:rPr>
          <w:b/>
          <w:color w:val="0070C0"/>
          <w:w w:val="105"/>
        </w:rPr>
        <w:t>Research</w:t>
      </w:r>
      <w:r>
        <w:rPr>
          <w:b/>
          <w:color w:val="0070C0"/>
          <w:spacing w:val="21"/>
          <w:w w:val="105"/>
        </w:rPr>
        <w:t> </w:t>
      </w:r>
      <w:r>
        <w:rPr>
          <w:b/>
          <w:color w:val="0070C0"/>
          <w:w w:val="105"/>
        </w:rPr>
        <w:t>overview:</w:t>
      </w:r>
      <w:r>
        <w:rPr>
          <w:b/>
          <w:color w:val="0070C0"/>
          <w:spacing w:val="21"/>
          <w:w w:val="105"/>
        </w:rPr>
        <w:t> </w:t>
      </w:r>
      <w:r>
        <w:rPr>
          <w:w w:val="105"/>
        </w:rPr>
        <w:t>Worked</w:t>
      </w:r>
      <w:r>
        <w:rPr>
          <w:spacing w:val="21"/>
          <w:w w:val="105"/>
        </w:rPr>
        <w:t> </w:t>
      </w:r>
      <w:r>
        <w:rPr>
          <w:w w:val="105"/>
        </w:rPr>
        <w:t>closely</w:t>
      </w:r>
      <w:r>
        <w:rPr>
          <w:spacing w:val="22"/>
          <w:w w:val="105"/>
        </w:rPr>
        <w:t> </w:t>
      </w:r>
      <w:r>
        <w:rPr>
          <w:w w:val="105"/>
        </w:rPr>
        <w:t>with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Alfred</w:t>
      </w:r>
      <w:r>
        <w:rPr>
          <w:spacing w:val="21"/>
          <w:w w:val="105"/>
        </w:rPr>
        <w:t> </w:t>
      </w:r>
      <w:r>
        <w:rPr>
          <w:w w:val="105"/>
        </w:rPr>
        <w:t>Hospital</w:t>
      </w:r>
      <w:r>
        <w:rPr>
          <w:spacing w:val="21"/>
          <w:w w:val="105"/>
        </w:rPr>
        <w:t> </w:t>
      </w:r>
      <w:r>
        <w:rPr>
          <w:w w:val="105"/>
        </w:rPr>
        <w:t>ED</w:t>
      </w:r>
      <w:r>
        <w:rPr>
          <w:spacing w:val="21"/>
          <w:w w:val="105"/>
        </w:rPr>
        <w:t> </w:t>
      </w:r>
      <w:r>
        <w:rPr>
          <w:w w:val="105"/>
        </w:rPr>
        <w:t>organising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clinical</w:t>
      </w:r>
      <w:r>
        <w:rPr>
          <w:spacing w:val="21"/>
          <w:w w:val="105"/>
        </w:rPr>
        <w:t> </w:t>
      </w:r>
      <w:r>
        <w:rPr>
          <w:w w:val="105"/>
        </w:rPr>
        <w:t>trial</w:t>
      </w:r>
      <w:r>
        <w:rPr>
          <w:spacing w:val="20"/>
          <w:w w:val="105"/>
        </w:rPr>
        <w:t> </w:t>
      </w:r>
      <w:r>
        <w:rPr>
          <w:w w:val="105"/>
        </w:rPr>
        <w:t>with</w:t>
      </w:r>
      <w:r>
        <w:rPr>
          <w:spacing w:val="21"/>
          <w:w w:val="105"/>
        </w:rPr>
        <w:t> </w:t>
      </w:r>
      <w:r>
        <w:rPr>
          <w:w w:val="105"/>
        </w:rPr>
        <w:t>plans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larger</w:t>
      </w:r>
      <w:r>
        <w:rPr>
          <w:spacing w:val="21"/>
          <w:w w:val="105"/>
        </w:rPr>
        <w:t> </w:t>
      </w:r>
      <w:r>
        <w:rPr>
          <w:w w:val="105"/>
        </w:rPr>
        <w:t>multi-centre</w:t>
      </w:r>
      <w:r>
        <w:rPr>
          <w:spacing w:val="1"/>
          <w:w w:val="105"/>
        </w:rPr>
        <w:t> </w:t>
      </w:r>
      <w:r>
        <w:rPr>
          <w:w w:val="105"/>
        </w:rPr>
        <w:t>trial. Completed studies in the US with college athletes across American Football and soccer. Continuing formal discussions with</w:t>
      </w:r>
      <w:r>
        <w:rPr>
          <w:spacing w:val="1"/>
          <w:w w:val="105"/>
        </w:rPr>
        <w:t> </w:t>
      </w:r>
      <w:r>
        <w:rPr>
          <w:w w:val="105"/>
        </w:rPr>
        <w:t>the AFL. Also, discussions around potential studies with Rugby, League and soccer codes via their player associations and/or club</w:t>
      </w:r>
      <w:r>
        <w:rPr>
          <w:spacing w:val="1"/>
          <w:w w:val="105"/>
        </w:rPr>
        <w:t> </w:t>
      </w:r>
      <w:r>
        <w:rPr>
          <w:w w:val="105"/>
        </w:rPr>
        <w:t>representatives. Currently</w:t>
      </w:r>
      <w:r>
        <w:rPr>
          <w:spacing w:val="1"/>
          <w:w w:val="105"/>
        </w:rPr>
        <w:t> </w:t>
      </w:r>
      <w:r>
        <w:rPr>
          <w:w w:val="105"/>
        </w:rPr>
        <w:t>focussing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Australian</w:t>
      </w:r>
      <w:r>
        <w:rPr>
          <w:spacing w:val="1"/>
          <w:w w:val="105"/>
        </w:rPr>
        <w:t> </w:t>
      </w:r>
      <w:r>
        <w:rPr>
          <w:w w:val="105"/>
        </w:rPr>
        <w:t>militaries</w:t>
      </w:r>
      <w:r>
        <w:rPr>
          <w:spacing w:val="1"/>
          <w:w w:val="105"/>
        </w:rPr>
        <w:t> </w:t>
      </w:r>
      <w:r>
        <w:rPr>
          <w:w w:val="105"/>
        </w:rPr>
        <w:t>re plans</w:t>
      </w:r>
      <w:r>
        <w:rPr>
          <w:spacing w:val="1"/>
          <w:w w:val="105"/>
        </w:rPr>
        <w:t> </w:t>
      </w:r>
      <w:r>
        <w:rPr>
          <w:w w:val="105"/>
        </w:rPr>
        <w:t>focussing  on  ‘sub-concussive’ blows</w:t>
      </w:r>
      <w:r>
        <w:rPr>
          <w:spacing w:val="1"/>
          <w:w w:val="105"/>
        </w:rPr>
        <w:t> </w:t>
      </w:r>
      <w:r>
        <w:rPr>
          <w:w w:val="105"/>
        </w:rPr>
        <w:t>bought about by explosive devices and potential longer term effects such as PTSD. Formal discussions with EU Center TBI and</w:t>
      </w:r>
      <w:r>
        <w:rPr>
          <w:spacing w:val="1"/>
          <w:w w:val="105"/>
        </w:rPr>
        <w:t> </w:t>
      </w:r>
      <w:r>
        <w:rPr>
          <w:w w:val="105"/>
        </w:rPr>
        <w:t>access to</w:t>
      </w:r>
      <w:r>
        <w:rPr>
          <w:spacing w:val="1"/>
          <w:w w:val="105"/>
        </w:rPr>
        <w:t> </w:t>
      </w:r>
      <w:r>
        <w:rPr>
          <w:w w:val="105"/>
        </w:rPr>
        <w:t>trial</w:t>
      </w:r>
      <w:r>
        <w:rPr>
          <w:spacing w:val="1"/>
          <w:w w:val="105"/>
        </w:rPr>
        <w:t> </w:t>
      </w:r>
      <w:r>
        <w:rPr>
          <w:w w:val="105"/>
        </w:rPr>
        <w:t>samples for</w:t>
      </w:r>
      <w:r>
        <w:rPr>
          <w:spacing w:val="1"/>
          <w:w w:val="105"/>
        </w:rPr>
        <w:t> </w:t>
      </w:r>
      <w:r>
        <w:rPr>
          <w:w w:val="105"/>
        </w:rPr>
        <w:t>testing</w:t>
      </w:r>
      <w:r>
        <w:rPr>
          <w:spacing w:val="1"/>
          <w:w w:val="105"/>
        </w:rPr>
        <w:t> </w:t>
      </w:r>
      <w:r>
        <w:rPr>
          <w:w w:val="105"/>
        </w:rPr>
        <w:t>using our</w:t>
      </w:r>
      <w:r>
        <w:rPr>
          <w:spacing w:val="1"/>
          <w:w w:val="105"/>
        </w:rPr>
        <w:t> </w:t>
      </w:r>
      <w:r>
        <w:rPr>
          <w:w w:val="105"/>
        </w:rPr>
        <w:t>biomarkers.</w:t>
      </w:r>
    </w:p>
    <w:p>
      <w:pPr>
        <w:pStyle w:val="BodyText"/>
        <w:spacing w:line="254" w:lineRule="auto" w:before="3"/>
        <w:ind w:left="162" w:right="326"/>
        <w:jc w:val="both"/>
      </w:pPr>
      <w:r>
        <w:rPr>
          <w:w w:val="105"/>
        </w:rPr>
        <w:t>Glia is working with a group in the US re the real potential of a Point of Care (POC) device to assist with immediate diagnosis at</w:t>
      </w:r>
      <w:r>
        <w:rPr>
          <w:spacing w:val="-43"/>
          <w:w w:val="105"/>
        </w:rPr>
        <w:t> </w:t>
      </w: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play,</w:t>
      </w:r>
      <w:r>
        <w:rPr>
          <w:spacing w:val="1"/>
          <w:w w:val="105"/>
        </w:rPr>
        <w:t> </w:t>
      </w:r>
      <w:r>
        <w:rPr>
          <w:w w:val="105"/>
        </w:rPr>
        <w:t>bedside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battlefield.</w:t>
      </w:r>
    </w:p>
    <w:p>
      <w:pPr>
        <w:pStyle w:val="BodyText"/>
        <w:spacing w:before="5"/>
      </w:pPr>
    </w:p>
    <w:p>
      <w:pPr>
        <w:spacing w:before="1"/>
        <w:ind w:left="162" w:right="0" w:firstLine="0"/>
        <w:jc w:val="both"/>
        <w:rPr>
          <w:sz w:val="19"/>
        </w:rPr>
      </w:pPr>
      <w:r>
        <w:rPr/>
        <w:pict>
          <v:group style="position:absolute;margin-left:357.463898pt;margin-top:15.095403pt;width:203.3pt;height:266.9pt;mso-position-horizontal-relative:page;mso-position-vertical-relative:paragraph;z-index:15729152" id="docshapegroup8" coordorigin="7149,302" coordsize="4066,5338">
            <v:shape style="position:absolute;left:7180;top:333;width:4004;height:5276" id="docshape9" coordorigin="7180,333" coordsize="4004,5276" path="m7502,333l7428,342,7361,366,7301,404,7251,454,7213,513,7189,581,7180,655,7180,5287,7189,5360,7213,5428,7251,5488,7301,5538,7361,5576,7428,5600,7502,5608m10857,333l10931,342,11000,366,11060,404,11111,454,11150,513,11175,581,11184,655,11184,5287,11175,5360,11150,5428,11111,5488,11060,5538,11000,5576,10931,5600,10857,5608e" filled="false" stroked="true" strokeweight="3.12pt" strokecolor="#0070c0">
              <v:path arrowok="t"/>
              <v:stroke dashstyle="solid"/>
            </v:shape>
            <v:shape style="position:absolute;left:7398;top:729;width:3600;height:2372" type="#_x0000_t75" id="docshape10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149;top:301;width:4066;height:5338" type="#_x0000_t202" id="docshape1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0"/>
                      <w:ind w:left="139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70C0"/>
                        <w:sz w:val="20"/>
                      </w:rPr>
                      <w:t>Edmond</w:t>
                    </w:r>
                    <w:r>
                      <w:rPr>
                        <w:b/>
                        <w:color w:val="0070C0"/>
                        <w:spacing w:val="55"/>
                        <w:sz w:val="20"/>
                      </w:rPr>
                      <w:t> </w:t>
                    </w:r>
                    <w:r>
                      <w:rPr>
                        <w:b/>
                        <w:color w:val="0070C0"/>
                        <w:sz w:val="20"/>
                      </w:rPr>
                      <w:t>Sorich</w:t>
                    </w:r>
                  </w:p>
                  <w:p>
                    <w:pPr>
                      <w:spacing w:line="254" w:lineRule="auto" w:before="10"/>
                      <w:ind w:left="1377" w:right="1337" w:firstLine="324"/>
                      <w:jc w:val="left"/>
                      <w:rPr>
                        <w:sz w:val="20"/>
                      </w:rPr>
                    </w:pPr>
                    <w:r>
                      <w:rPr>
                        <w:color w:val="0070C0"/>
                        <w:w w:val="105"/>
                        <w:sz w:val="20"/>
                      </w:rPr>
                      <w:t>Director</w:t>
                    </w:r>
                    <w:r>
                      <w:rPr>
                        <w:color w:val="0070C0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Glia</w:t>
                    </w:r>
                    <w:r>
                      <w:rPr>
                        <w:color w:val="0070C0"/>
                        <w:spacing w:val="-1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Diagnostics</w:t>
                    </w:r>
                  </w:p>
                  <w:p>
                    <w:pPr>
                      <w:spacing w:line="240" w:lineRule="exact" w:before="0"/>
                      <w:ind w:left="1184" w:right="119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0070C0"/>
                        <w:w w:val="105"/>
                        <w:sz w:val="20"/>
                      </w:rPr>
                      <w:t>M:</w:t>
                    </w:r>
                    <w:r>
                      <w:rPr>
                        <w:color w:val="0070C0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+</w:t>
                    </w:r>
                    <w:r>
                      <w:rPr>
                        <w:color w:val="0070C0"/>
                        <w:spacing w:val="-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61</w:t>
                    </w:r>
                    <w:r>
                      <w:rPr>
                        <w:color w:val="0070C0"/>
                        <w:spacing w:val="-2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450507237</w:t>
                    </w:r>
                  </w:p>
                  <w:p>
                    <w:pPr>
                      <w:spacing w:line="252" w:lineRule="auto" w:before="15"/>
                      <w:ind w:left="868" w:right="878" w:hanging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0070C0"/>
                        <w:w w:val="105"/>
                        <w:sz w:val="20"/>
                      </w:rPr>
                      <w:t>E: </w:t>
                    </w:r>
                    <w:hyperlink r:id="rId7">
                      <w:r>
                        <w:rPr>
                          <w:color w:val="0000FF"/>
                          <w:w w:val="105"/>
                          <w:sz w:val="20"/>
                          <w:u w:val="single" w:color="0000FF"/>
                        </w:rPr>
                        <w:t>ed@gliadiagnostics.com</w:t>
                      </w:r>
                    </w:hyperlink>
                    <w:r>
                      <w:rPr>
                        <w:color w:val="0000FF"/>
                        <w:spacing w:val="-45"/>
                        <w:w w:val="105"/>
                        <w:sz w:val="20"/>
                      </w:rPr>
                      <w:t> </w:t>
                    </w:r>
                    <w:hyperlink r:id="rId8">
                      <w:r>
                        <w:rPr>
                          <w:color w:val="0000FF"/>
                          <w:w w:val="105"/>
                          <w:sz w:val="20"/>
                          <w:u w:val="single" w:color="0000FF"/>
                        </w:rPr>
                        <w:t>www.gliadiagnostics.com</w:t>
                      </w:r>
                    </w:hyperlink>
                    <w:r>
                      <w:rPr>
                        <w:color w:val="0000FF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PO</w:t>
                    </w:r>
                    <w:r>
                      <w:rPr>
                        <w:color w:val="0070C0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Box</w:t>
                    </w:r>
                    <w:r>
                      <w:rPr>
                        <w:color w:val="0070C0"/>
                        <w:spacing w:val="-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138N</w:t>
                    </w:r>
                    <w:r>
                      <w:rPr>
                        <w:color w:val="0070C0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Armadale</w:t>
                    </w:r>
                    <w:r>
                      <w:rPr>
                        <w:color w:val="0070C0"/>
                        <w:spacing w:val="-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VIC</w:t>
                    </w:r>
                    <w:r>
                      <w:rPr>
                        <w:color w:val="0070C0"/>
                        <w:spacing w:val="-44"/>
                        <w:w w:val="105"/>
                        <w:sz w:val="20"/>
                      </w:rPr>
                      <w:t> </w:t>
                    </w:r>
                    <w:r>
                      <w:rPr>
                        <w:color w:val="0070C0"/>
                        <w:w w:val="105"/>
                        <w:sz w:val="20"/>
                      </w:rPr>
                      <w:t>AUS 3143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70C0"/>
          <w:w w:val="105"/>
          <w:sz w:val="19"/>
        </w:rPr>
        <w:t>Postgraduate</w:t>
      </w:r>
      <w:r>
        <w:rPr>
          <w:b/>
          <w:color w:val="0070C0"/>
          <w:spacing w:val="-2"/>
          <w:w w:val="105"/>
          <w:sz w:val="19"/>
        </w:rPr>
        <w:t> </w:t>
      </w:r>
      <w:r>
        <w:rPr>
          <w:b/>
          <w:color w:val="0070C0"/>
          <w:w w:val="105"/>
          <w:sz w:val="19"/>
        </w:rPr>
        <w:t>supervision:</w:t>
      </w:r>
      <w:r>
        <w:rPr>
          <w:b/>
          <w:color w:val="0070C0"/>
          <w:spacing w:val="42"/>
          <w:w w:val="105"/>
          <w:sz w:val="19"/>
        </w:rPr>
        <w:t> </w:t>
      </w:r>
      <w:r>
        <w:rPr>
          <w:w w:val="105"/>
          <w:sz w:val="19"/>
        </w:rPr>
        <w:t>N/A</w:t>
      </w:r>
    </w:p>
    <w:p>
      <w:pPr>
        <w:pStyle w:val="BodyText"/>
        <w:spacing w:before="1"/>
        <w:rPr>
          <w:sz w:val="21"/>
        </w:rPr>
      </w:pPr>
    </w:p>
    <w:p>
      <w:pPr>
        <w:spacing w:line="254" w:lineRule="auto" w:before="0"/>
        <w:ind w:left="162" w:right="5555" w:firstLine="0"/>
        <w:jc w:val="left"/>
        <w:rPr>
          <w:sz w:val="19"/>
        </w:rPr>
      </w:pPr>
      <w:r>
        <w:rPr>
          <w:b/>
          <w:color w:val="0070C0"/>
          <w:w w:val="105"/>
          <w:sz w:val="19"/>
        </w:rPr>
        <w:t>Research publications: </w:t>
      </w:r>
      <w:r>
        <w:rPr>
          <w:w w:val="105"/>
          <w:sz w:val="19"/>
        </w:rPr>
        <w:t>Currently 1 peer reviewed publication.</w:t>
      </w:r>
      <w:r>
        <w:rPr>
          <w:spacing w:val="-43"/>
          <w:w w:val="105"/>
          <w:sz w:val="19"/>
        </w:rPr>
        <w:t> </w:t>
      </w:r>
      <w:r>
        <w:rPr>
          <w:w w:val="105"/>
          <w:sz w:val="19"/>
        </w:rPr>
        <w:t>Example publications:</w:t>
      </w:r>
    </w:p>
    <w:p>
      <w:pPr>
        <w:pStyle w:val="BodyText"/>
        <w:spacing w:line="252" w:lineRule="auto"/>
        <w:ind w:left="162" w:right="3585"/>
      </w:pPr>
      <w:r>
        <w:rPr>
          <w:w w:val="105"/>
        </w:rPr>
        <w:t>Mitra B et al. Plasma micro-RNA biomarkers for diagnosis and prognosis after</w:t>
      </w:r>
      <w:r>
        <w:rPr>
          <w:spacing w:val="-43"/>
          <w:w w:val="105"/>
        </w:rPr>
        <w:t> </w:t>
      </w:r>
      <w:r>
        <w:rPr>
          <w:w w:val="105"/>
        </w:rPr>
        <w:t>traumatic brain injury: A</w:t>
      </w:r>
      <w:r>
        <w:rPr>
          <w:spacing w:val="1"/>
          <w:w w:val="105"/>
        </w:rPr>
        <w:t> </w:t>
      </w:r>
      <w:r>
        <w:rPr>
          <w:w w:val="105"/>
        </w:rPr>
        <w:t>pilot study. J ClinNeurosci (2017),</w:t>
      </w:r>
      <w:r>
        <w:rPr>
          <w:spacing w:val="1"/>
          <w:w w:val="105"/>
        </w:rPr>
        <w:t> </w:t>
      </w:r>
      <w:hyperlink r:id="rId9">
        <w:r>
          <w:rPr>
            <w:color w:val="0000FF"/>
            <w:w w:val="105"/>
            <w:u w:val="single" w:color="0000FF"/>
          </w:rPr>
          <w:t>http://dx.doi.org/10.1016/j.jocn.2016.12.009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0"/>
        <w:ind w:left="0" w:right="135" w:firstLine="0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t>1</w:t>
      </w:r>
    </w:p>
    <w:sectPr>
      <w:type w:val="continuous"/>
      <w:pgSz w:w="11910" w:h="16840"/>
      <w:pgMar w:top="740" w:bottom="280" w:left="5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9"/>
      <w:szCs w:val="19"/>
    </w:rPr>
  </w:style>
  <w:style w:styleId="Title" w:type="paragraph">
    <w:name w:val="Title"/>
    <w:basedOn w:val="Normal"/>
    <w:uiPriority w:val="1"/>
    <w:qFormat/>
    <w:pPr>
      <w:spacing w:before="188"/>
      <w:ind w:left="3229" w:right="5908" w:hanging="767"/>
    </w:pPr>
    <w:rPr>
      <w:rFonts w:ascii="Calibri" w:hAnsi="Calibri" w:eastAsia="Calibri" w:cs="Calibri"/>
      <w:b/>
      <w:bCs/>
      <w:sz w:val="31"/>
      <w:szCs w:val="3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iadiagnostics.com/" TargetMode="External"/><Relationship Id="rId3" Type="http://schemas.openxmlformats.org/officeDocument/2006/relationships/theme" Target="theme/theme1.xml"/><Relationship Id="rId7" Type="http://schemas.openxmlformats.org/officeDocument/2006/relationships/hyperlink" Target="mailto:ed@gliadiagnostics.com" TargetMode="External"/><Relationship Id="rId12" Type="http://schemas.openxmlformats.org/officeDocument/2006/relationships/customXml" Target="../customXml/item3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yperlink" Target="http://dx.doi.org/10.1016/j.jocn.2016.12.0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F66A868263D14182E3B99603F681CC" ma:contentTypeVersion="10" ma:contentTypeDescription="Create a new document." ma:contentTypeScope="" ma:versionID="03992e7f59f2ede8993b0c8dcc66e475">
  <xsd:schema xmlns:xsd="http://www.w3.org/2001/XMLSchema" xmlns:xs="http://www.w3.org/2001/XMLSchema" xmlns:p="http://schemas.microsoft.com/office/2006/metadata/properties" xmlns:ns2="4801ba7a-85d0-49de-9303-1210690099f3" targetNamespace="http://schemas.microsoft.com/office/2006/metadata/properties" ma:root="true" ma:fieldsID="ee66cb76ce9b14b6315573ad5afae034" ns2:_="">
    <xsd:import namespace="4801ba7a-85d0-49de-9303-1210690099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1ba7a-85d0-49de-9303-121069009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FCEF87-ABC8-464C-B729-B850DD22DD52}"/>
</file>

<file path=customXml/itemProps2.xml><?xml version="1.0" encoding="utf-8"?>
<ds:datastoreItem xmlns:ds="http://schemas.openxmlformats.org/officeDocument/2006/customXml" ds:itemID="{B3DCF85F-83DE-4C48-B3AF-BF40A3A87C81}"/>
</file>

<file path=customXml/itemProps3.xml><?xml version="1.0" encoding="utf-8"?>
<ds:datastoreItem xmlns:ds="http://schemas.openxmlformats.org/officeDocument/2006/customXml" ds:itemID="{C282905C-7D08-493D-9B5B-12FE7D302B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2021-09-03T09:46:18Z</dcterms:created>
  <dcterms:modified xsi:type="dcterms:W3CDTF">2021-09-03T09:46:18Z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0x01010080F66A868263D14182E3B99603F681CC</vt:lpwstr>
  </property>
</Properties>
</file>